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B59" w:rsidRPr="003B3B59" w:rsidRDefault="003B3B59" w:rsidP="003B3B59">
      <w:pPr>
        <w:spacing w:after="0" w:line="240" w:lineRule="auto"/>
        <w:rPr>
          <w:rFonts w:ascii="Arial" w:eastAsia="Times New Roman" w:hAnsi="Arial" w:cs="Arial"/>
          <w:sz w:val="24"/>
        </w:rPr>
      </w:pPr>
    </w:p>
    <w:p w:rsidR="003B3B59" w:rsidRPr="003B3B59" w:rsidRDefault="003B3B59" w:rsidP="003B3B59">
      <w:pPr>
        <w:spacing w:after="0" w:line="240" w:lineRule="auto"/>
        <w:jc w:val="center"/>
        <w:rPr>
          <w:rFonts w:ascii="Arial" w:eastAsia="Times New Roman" w:hAnsi="Arial" w:cs="Times New Roman"/>
          <w:b/>
          <w:bCs/>
          <w:sz w:val="36"/>
          <w:szCs w:val="36"/>
        </w:rPr>
      </w:pPr>
    </w:p>
    <w:p w:rsidR="003B3B59" w:rsidRPr="003B3B59" w:rsidRDefault="003B3B59" w:rsidP="003B3B59">
      <w:pPr>
        <w:spacing w:after="0" w:line="240" w:lineRule="auto"/>
        <w:jc w:val="center"/>
        <w:rPr>
          <w:rFonts w:ascii="Arial" w:eastAsia="Times New Roman" w:hAnsi="Arial" w:cs="Times New Roman"/>
          <w:b/>
          <w:bCs/>
          <w:sz w:val="36"/>
          <w:szCs w:val="36"/>
        </w:rPr>
      </w:pPr>
    </w:p>
    <w:p w:rsidR="003B3B59" w:rsidRPr="003B3B59" w:rsidRDefault="003B3B59" w:rsidP="003B3B59">
      <w:pPr>
        <w:spacing w:after="0" w:line="240" w:lineRule="auto"/>
        <w:jc w:val="center"/>
        <w:rPr>
          <w:rFonts w:ascii="Arial" w:eastAsia="Times New Roman" w:hAnsi="Arial" w:cs="Times New Roman"/>
          <w:b/>
          <w:bCs/>
          <w:sz w:val="36"/>
          <w:szCs w:val="36"/>
        </w:rPr>
      </w:pPr>
    </w:p>
    <w:p w:rsidR="003B3B59" w:rsidRPr="003B3B59" w:rsidRDefault="003B3B59" w:rsidP="003B3B59">
      <w:pPr>
        <w:spacing w:after="0" w:line="240" w:lineRule="auto"/>
        <w:jc w:val="center"/>
        <w:rPr>
          <w:rFonts w:ascii="Arial" w:eastAsia="Times New Roman" w:hAnsi="Arial" w:cs="Times New Roman"/>
          <w:b/>
          <w:bCs/>
          <w:sz w:val="36"/>
          <w:szCs w:val="36"/>
        </w:rPr>
      </w:pPr>
    </w:p>
    <w:p w:rsidR="003B3B59" w:rsidRPr="003B3B59" w:rsidRDefault="003B3B59" w:rsidP="003B3B59">
      <w:pPr>
        <w:spacing w:after="0" w:line="240" w:lineRule="auto"/>
        <w:jc w:val="center"/>
        <w:rPr>
          <w:rFonts w:ascii="Arial" w:eastAsia="Times New Roman" w:hAnsi="Arial" w:cs="Times New Roman"/>
          <w:b/>
          <w:bCs/>
          <w:sz w:val="36"/>
          <w:szCs w:val="36"/>
        </w:rPr>
      </w:pPr>
    </w:p>
    <w:p w:rsidR="003B3B59" w:rsidRPr="003B3B59" w:rsidRDefault="003B3B59" w:rsidP="003B3B59">
      <w:pPr>
        <w:spacing w:after="0" w:line="240" w:lineRule="auto"/>
        <w:jc w:val="center"/>
        <w:rPr>
          <w:rFonts w:ascii="Arial" w:eastAsia="Times New Roman" w:hAnsi="Arial" w:cs="Times New Roman"/>
          <w:b/>
          <w:bCs/>
          <w:sz w:val="36"/>
          <w:szCs w:val="36"/>
        </w:rPr>
      </w:pPr>
      <w:r w:rsidRPr="003B3B59">
        <w:rPr>
          <w:rFonts w:ascii="Arial" w:eastAsia="Times New Roman" w:hAnsi="Arial" w:cs="Times New Roman"/>
          <w:b/>
          <w:bCs/>
          <w:noProof/>
          <w:sz w:val="36"/>
          <w:szCs w:val="36"/>
          <w:lang w:eastAsia="en-GB"/>
        </w:rPr>
        <w:drawing>
          <wp:inline distT="0" distB="0" distL="0" distR="0" wp14:anchorId="1ADC2C65" wp14:editId="0B9FD671">
            <wp:extent cx="5270500" cy="3522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ROSE logo v2.png"/>
                    <pic:cNvPicPr/>
                  </pic:nvPicPr>
                  <pic:blipFill>
                    <a:blip r:embed="rId8"/>
                    <a:stretch>
                      <a:fillRect/>
                    </a:stretch>
                  </pic:blipFill>
                  <pic:spPr>
                    <a:xfrm>
                      <a:off x="0" y="0"/>
                      <a:ext cx="5270500" cy="3522980"/>
                    </a:xfrm>
                    <a:prstGeom prst="rect">
                      <a:avLst/>
                    </a:prstGeom>
                  </pic:spPr>
                </pic:pic>
              </a:graphicData>
            </a:graphic>
          </wp:inline>
        </w:drawing>
      </w:r>
    </w:p>
    <w:p w:rsidR="003B3B59" w:rsidRPr="003B3B59" w:rsidRDefault="003B3B59" w:rsidP="003B3B59">
      <w:pPr>
        <w:keepNext/>
        <w:tabs>
          <w:tab w:val="center" w:pos="4153"/>
          <w:tab w:val="right" w:pos="8306"/>
        </w:tabs>
        <w:spacing w:before="240" w:after="120" w:line="240" w:lineRule="auto"/>
        <w:ind w:left="432" w:hanging="432"/>
        <w:jc w:val="center"/>
        <w:outlineLvl w:val="0"/>
        <w:rPr>
          <w:rFonts w:ascii="Arial" w:eastAsia="Times New Roman" w:hAnsi="Arial" w:cs="Arial"/>
          <w:b/>
          <w:sz w:val="28"/>
          <w:szCs w:val="24"/>
        </w:rPr>
      </w:pPr>
      <w:bookmarkStart w:id="0" w:name="_Toc42077775"/>
      <w:bookmarkStart w:id="1" w:name="_Toc42768452"/>
      <w:bookmarkStart w:id="2" w:name="_Toc42768938"/>
      <w:bookmarkStart w:id="3" w:name="_Toc44574189"/>
      <w:r w:rsidRPr="003B3B59">
        <w:rPr>
          <w:rFonts w:ascii="Arial" w:eastAsia="Times New Roman" w:hAnsi="Arial" w:cs="Arial"/>
          <w:b/>
          <w:sz w:val="28"/>
          <w:szCs w:val="24"/>
        </w:rPr>
        <w:t>Protocol for PRIMROSE Audit</w:t>
      </w:r>
      <w:bookmarkEnd w:id="0"/>
      <w:bookmarkEnd w:id="1"/>
      <w:bookmarkEnd w:id="2"/>
      <w:bookmarkEnd w:id="3"/>
      <w:r w:rsidRPr="003B3B59">
        <w:rPr>
          <w:rFonts w:ascii="Arial" w:eastAsia="Times New Roman" w:hAnsi="Arial" w:cs="Arial"/>
          <w:b/>
          <w:sz w:val="28"/>
          <w:szCs w:val="24"/>
        </w:rPr>
        <w:t xml:space="preserve"> </w:t>
      </w:r>
    </w:p>
    <w:p w:rsidR="000311D8" w:rsidRPr="003B3B59" w:rsidRDefault="003B3B59" w:rsidP="003B3B59">
      <w:pPr>
        <w:keepNext/>
        <w:tabs>
          <w:tab w:val="center" w:pos="4153"/>
          <w:tab w:val="right" w:pos="8306"/>
        </w:tabs>
        <w:spacing w:before="240" w:after="120" w:line="240" w:lineRule="auto"/>
        <w:ind w:left="432" w:hanging="432"/>
        <w:jc w:val="center"/>
        <w:outlineLvl w:val="0"/>
        <w:rPr>
          <w:rFonts w:ascii="Arial" w:eastAsia="Times New Roman" w:hAnsi="Arial" w:cs="Arial"/>
          <w:b/>
          <w:sz w:val="28"/>
          <w:szCs w:val="24"/>
        </w:rPr>
      </w:pPr>
      <w:bookmarkStart w:id="4" w:name="_Toc42768453"/>
      <w:bookmarkStart w:id="5" w:name="_Toc42768939"/>
      <w:bookmarkStart w:id="6" w:name="_Toc44574190"/>
      <w:r w:rsidRPr="003B3B59">
        <w:rPr>
          <w:rFonts w:ascii="Arial" w:eastAsia="Times New Roman" w:hAnsi="Arial" w:cs="Arial"/>
          <w:b/>
          <w:sz w:val="28"/>
          <w:szCs w:val="24"/>
        </w:rPr>
        <w:t>A prospective multi-centre cohort study to assess the presentation, management and outcomes of patients with CNS disease secondary to breas</w:t>
      </w:r>
      <w:r w:rsidR="000311D8">
        <w:rPr>
          <w:rFonts w:ascii="Arial" w:eastAsia="Times New Roman" w:hAnsi="Arial" w:cs="Arial"/>
          <w:b/>
          <w:sz w:val="28"/>
          <w:szCs w:val="24"/>
        </w:rPr>
        <w:t>t cancer</w:t>
      </w:r>
      <w:bookmarkEnd w:id="4"/>
      <w:bookmarkEnd w:id="5"/>
      <w:bookmarkEnd w:id="6"/>
    </w:p>
    <w:tbl>
      <w:tblPr>
        <w:tblW w:w="9815" w:type="dxa"/>
        <w:tblInd w:w="108" w:type="dxa"/>
        <w:tblLayout w:type="fixed"/>
        <w:tblLook w:val="01E0" w:firstRow="1" w:lastRow="1" w:firstColumn="1" w:lastColumn="1" w:noHBand="0" w:noVBand="0"/>
      </w:tblPr>
      <w:tblGrid>
        <w:gridCol w:w="4643"/>
        <w:gridCol w:w="5172"/>
      </w:tblGrid>
      <w:tr w:rsidR="000311D8" w:rsidRPr="00750C81" w:rsidTr="00C07029">
        <w:trPr>
          <w:trHeight w:val="2343"/>
        </w:trPr>
        <w:tc>
          <w:tcPr>
            <w:tcW w:w="4643" w:type="dxa"/>
          </w:tcPr>
          <w:p w:rsidR="000311D8" w:rsidRPr="00750C81" w:rsidRDefault="000311D8" w:rsidP="000311D8">
            <w:pPr>
              <w:spacing w:after="0" w:line="240" w:lineRule="auto"/>
              <w:rPr>
                <w:rFonts w:cs="Arial"/>
                <w:b/>
                <w:bCs/>
                <w:sz w:val="24"/>
              </w:rPr>
            </w:pPr>
            <w:r w:rsidRPr="00750C81">
              <w:rPr>
                <w:rFonts w:cs="Arial"/>
                <w:b/>
                <w:bCs/>
                <w:sz w:val="24"/>
              </w:rPr>
              <w:t>Sponsor:</w:t>
            </w:r>
          </w:p>
          <w:p w:rsidR="000311D8" w:rsidRPr="00750C81" w:rsidRDefault="000311D8" w:rsidP="000311D8">
            <w:pPr>
              <w:spacing w:before="120" w:after="0" w:line="240" w:lineRule="auto"/>
              <w:rPr>
                <w:rFonts w:cs="Arial"/>
                <w:iCs/>
                <w:sz w:val="24"/>
              </w:rPr>
            </w:pPr>
            <w:r w:rsidRPr="00750C81">
              <w:rPr>
                <w:rFonts w:cs="Arial"/>
                <w:iCs/>
                <w:sz w:val="24"/>
              </w:rPr>
              <w:t>University of Liverpool</w:t>
            </w:r>
          </w:p>
          <w:p w:rsidR="000311D8" w:rsidRPr="00750C81" w:rsidRDefault="000311D8" w:rsidP="000311D8">
            <w:pPr>
              <w:spacing w:after="0" w:line="240" w:lineRule="auto"/>
              <w:rPr>
                <w:rFonts w:cs="Arial"/>
                <w:iCs/>
                <w:sz w:val="24"/>
              </w:rPr>
            </w:pPr>
            <w:r w:rsidRPr="00750C81">
              <w:rPr>
                <w:rFonts w:cs="Arial"/>
                <w:iCs/>
                <w:sz w:val="24"/>
              </w:rPr>
              <w:t xml:space="preserve">1st Floor Block C </w:t>
            </w:r>
          </w:p>
          <w:p w:rsidR="000311D8" w:rsidRPr="00750C81" w:rsidRDefault="000311D8" w:rsidP="000311D8">
            <w:pPr>
              <w:spacing w:after="0" w:line="240" w:lineRule="auto"/>
              <w:rPr>
                <w:rFonts w:cs="Arial"/>
                <w:iCs/>
                <w:sz w:val="24"/>
              </w:rPr>
            </w:pPr>
            <w:r w:rsidRPr="00750C81">
              <w:rPr>
                <w:rFonts w:cs="Arial"/>
                <w:iCs/>
                <w:sz w:val="24"/>
              </w:rPr>
              <w:t xml:space="preserve">Waterhouse Building </w:t>
            </w:r>
          </w:p>
          <w:p w:rsidR="000311D8" w:rsidRPr="00750C81" w:rsidRDefault="000311D8" w:rsidP="000311D8">
            <w:pPr>
              <w:spacing w:after="0" w:line="240" w:lineRule="auto"/>
              <w:rPr>
                <w:rFonts w:cs="Arial"/>
                <w:iCs/>
                <w:sz w:val="24"/>
              </w:rPr>
            </w:pPr>
            <w:r w:rsidRPr="00750C81">
              <w:rPr>
                <w:rFonts w:cs="Arial"/>
                <w:iCs/>
                <w:sz w:val="24"/>
              </w:rPr>
              <w:t xml:space="preserve">3 Brownlow Street </w:t>
            </w:r>
          </w:p>
          <w:p w:rsidR="000311D8" w:rsidRPr="00750C81" w:rsidRDefault="000311D8" w:rsidP="000311D8">
            <w:pPr>
              <w:spacing w:after="0" w:line="240" w:lineRule="auto"/>
              <w:rPr>
                <w:rFonts w:cs="Arial"/>
                <w:iCs/>
                <w:sz w:val="24"/>
              </w:rPr>
            </w:pPr>
            <w:r w:rsidRPr="00750C81">
              <w:rPr>
                <w:rFonts w:cs="Arial"/>
                <w:iCs/>
                <w:sz w:val="24"/>
              </w:rPr>
              <w:t xml:space="preserve">Liverpool </w:t>
            </w:r>
          </w:p>
          <w:p w:rsidR="000311D8" w:rsidRDefault="000311D8" w:rsidP="000311D8">
            <w:pPr>
              <w:spacing w:after="0" w:line="240" w:lineRule="auto"/>
              <w:rPr>
                <w:rFonts w:cs="Arial"/>
                <w:iCs/>
                <w:sz w:val="24"/>
              </w:rPr>
            </w:pPr>
            <w:r w:rsidRPr="00750C81">
              <w:rPr>
                <w:rFonts w:cs="Arial"/>
                <w:iCs/>
                <w:sz w:val="24"/>
              </w:rPr>
              <w:t>L69 3GL</w:t>
            </w:r>
          </w:p>
          <w:p w:rsidR="000311D8" w:rsidRDefault="000311D8" w:rsidP="000311D8">
            <w:pPr>
              <w:spacing w:after="0" w:line="240" w:lineRule="auto"/>
              <w:rPr>
                <w:rFonts w:cs="Arial"/>
                <w:iCs/>
                <w:sz w:val="24"/>
              </w:rPr>
            </w:pPr>
          </w:p>
          <w:p w:rsidR="000311D8" w:rsidRDefault="000311D8" w:rsidP="000311D8">
            <w:pPr>
              <w:spacing w:after="0" w:line="240" w:lineRule="auto"/>
              <w:rPr>
                <w:rFonts w:cs="Arial"/>
                <w:iCs/>
                <w:sz w:val="24"/>
              </w:rPr>
            </w:pPr>
          </w:p>
          <w:p w:rsidR="000311D8" w:rsidRDefault="000311D8" w:rsidP="000311D8">
            <w:pPr>
              <w:spacing w:after="0" w:line="240" w:lineRule="auto"/>
              <w:rPr>
                <w:rFonts w:cs="Arial"/>
                <w:iCs/>
                <w:sz w:val="24"/>
              </w:rPr>
            </w:pPr>
          </w:p>
          <w:p w:rsidR="000311D8" w:rsidRPr="00A140D9" w:rsidRDefault="000311D8" w:rsidP="000311D8">
            <w:pPr>
              <w:spacing w:after="0" w:line="240" w:lineRule="auto"/>
              <w:rPr>
                <w:rFonts w:cs="Arial"/>
                <w:sz w:val="20"/>
              </w:rPr>
            </w:pPr>
            <w:r w:rsidRPr="00045565">
              <w:rPr>
                <w:rFonts w:cs="Arial"/>
                <w:iCs/>
              </w:rPr>
              <w:t xml:space="preserve">  </w:t>
            </w:r>
          </w:p>
        </w:tc>
        <w:tc>
          <w:tcPr>
            <w:tcW w:w="5172" w:type="dxa"/>
          </w:tcPr>
          <w:p w:rsidR="000311D8" w:rsidRPr="00750C81" w:rsidRDefault="000311D8" w:rsidP="000311D8">
            <w:pPr>
              <w:spacing w:after="0" w:line="240" w:lineRule="auto"/>
              <w:jc w:val="right"/>
              <w:rPr>
                <w:rFonts w:cs="Arial"/>
                <w:b/>
                <w:bCs/>
                <w:sz w:val="24"/>
              </w:rPr>
            </w:pPr>
            <w:r w:rsidRPr="00750C81">
              <w:rPr>
                <w:rFonts w:cs="Arial"/>
                <w:b/>
                <w:bCs/>
                <w:color w:val="0000FF"/>
                <w:sz w:val="24"/>
              </w:rPr>
              <w:t xml:space="preserve"> </w:t>
            </w:r>
          </w:p>
          <w:p w:rsidR="000311D8" w:rsidRPr="00750C81" w:rsidRDefault="000311D8" w:rsidP="000311D8">
            <w:pPr>
              <w:spacing w:after="0" w:line="240" w:lineRule="auto"/>
              <w:rPr>
                <w:rFonts w:cs="Arial"/>
                <w:sz w:val="24"/>
              </w:rPr>
            </w:pPr>
          </w:p>
          <w:p w:rsidR="000311D8" w:rsidRPr="00750C81" w:rsidRDefault="000311D8" w:rsidP="000311D8">
            <w:pPr>
              <w:spacing w:after="0" w:line="240" w:lineRule="auto"/>
              <w:rPr>
                <w:rFonts w:cs="Arial"/>
                <w:sz w:val="24"/>
              </w:rPr>
            </w:pPr>
          </w:p>
          <w:p w:rsidR="000311D8" w:rsidRPr="00750C81" w:rsidRDefault="000311D8" w:rsidP="000311D8">
            <w:pPr>
              <w:spacing w:after="0" w:line="240" w:lineRule="auto"/>
              <w:rPr>
                <w:rFonts w:cs="Arial"/>
                <w:sz w:val="24"/>
              </w:rPr>
            </w:pPr>
          </w:p>
          <w:p w:rsidR="000311D8" w:rsidRPr="00A140D9" w:rsidRDefault="000311D8" w:rsidP="000311D8">
            <w:pPr>
              <w:spacing w:after="0" w:line="240" w:lineRule="auto"/>
              <w:rPr>
                <w:rFonts w:cs="Arial"/>
                <w:sz w:val="20"/>
              </w:rPr>
            </w:pPr>
          </w:p>
        </w:tc>
      </w:tr>
    </w:tbl>
    <w:p w:rsidR="000311D8" w:rsidRPr="00750C81" w:rsidRDefault="000311D8" w:rsidP="000311D8">
      <w:pPr>
        <w:rPr>
          <w:rFonts w:cs="Arial"/>
          <w:sz w:val="24"/>
        </w:rPr>
      </w:pPr>
      <w:r>
        <w:rPr>
          <w:rFonts w:cs="Arial"/>
          <w:noProof/>
          <w:sz w:val="28"/>
          <w:szCs w:val="28"/>
          <w:lang w:eastAsia="en-GB"/>
        </w:rPr>
        <w:drawing>
          <wp:inline distT="0" distB="0" distL="0" distR="0" wp14:anchorId="5AD39094" wp14:editId="015E5ECD">
            <wp:extent cx="2164337" cy="5524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oL - Logo -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8236" cy="555998"/>
                    </a:xfrm>
                    <a:prstGeom prst="rect">
                      <a:avLst/>
                    </a:prstGeom>
                  </pic:spPr>
                </pic:pic>
              </a:graphicData>
            </a:graphic>
          </wp:inline>
        </w:drawing>
      </w:r>
      <w:r>
        <w:rPr>
          <w:rFonts w:cs="Arial"/>
          <w:color w:val="0000FF"/>
          <w:sz w:val="20"/>
          <w:lang w:eastAsia="en-GB"/>
        </w:rPr>
        <w:t xml:space="preserve">     </w:t>
      </w:r>
      <w:r>
        <w:rPr>
          <w:noProof/>
          <w:sz w:val="24"/>
          <w:lang w:eastAsia="en-GB"/>
        </w:rPr>
        <w:t xml:space="preserve">                                                                       </w:t>
      </w:r>
      <w:r>
        <w:rPr>
          <w:rFonts w:cs="Arial"/>
          <w:color w:val="0000FF"/>
          <w:sz w:val="20"/>
          <w:lang w:eastAsia="en-GB"/>
        </w:rPr>
        <w:t xml:space="preserve">     </w:t>
      </w:r>
      <w:r w:rsidRPr="00750C81">
        <w:rPr>
          <w:noProof/>
          <w:sz w:val="24"/>
          <w:lang w:eastAsia="en-GB"/>
        </w:rPr>
        <w:drawing>
          <wp:inline distT="0" distB="0" distL="0" distR="0" wp14:anchorId="46D52898" wp14:editId="7A8330C6">
            <wp:extent cx="1448789" cy="35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27" t="10440" r="67171" b="81398"/>
                    <a:stretch/>
                  </pic:blipFill>
                  <pic:spPr bwMode="auto">
                    <a:xfrm>
                      <a:off x="0" y="0"/>
                      <a:ext cx="1448789" cy="350570"/>
                    </a:xfrm>
                    <a:prstGeom prst="rect">
                      <a:avLst/>
                    </a:prstGeom>
                    <a:ln>
                      <a:noFill/>
                    </a:ln>
                    <a:extLst>
                      <a:ext uri="{53640926-AAD7-44D8-BBD7-CCE9431645EC}">
                        <a14:shadowObscured xmlns:a14="http://schemas.microsoft.com/office/drawing/2010/main"/>
                      </a:ext>
                    </a:extLst>
                  </pic:spPr>
                </pic:pic>
              </a:graphicData>
            </a:graphic>
          </wp:inline>
        </w:drawing>
      </w:r>
      <w:r>
        <w:rPr>
          <w:rFonts w:cs="Arial"/>
          <w:color w:val="0000FF"/>
          <w:sz w:val="20"/>
          <w:lang w:eastAsia="en-GB"/>
        </w:rPr>
        <w:t xml:space="preserve">     </w:t>
      </w:r>
      <w:r w:rsidRPr="00A140D9">
        <w:rPr>
          <w:rFonts w:cs="Arial"/>
          <w:color w:val="0000FF"/>
          <w:sz w:val="20"/>
          <w:lang w:eastAsia="en-GB"/>
        </w:rPr>
        <w:t xml:space="preserve">         </w:t>
      </w:r>
      <w:r>
        <w:rPr>
          <w:rFonts w:cs="Arial"/>
          <w:color w:val="0000FF"/>
          <w:sz w:val="20"/>
          <w:lang w:eastAsia="en-GB"/>
        </w:rPr>
        <w:t xml:space="preserve">                                                   </w:t>
      </w:r>
    </w:p>
    <w:p w:rsidR="008F7FF4" w:rsidRDefault="008F7FF4" w:rsidP="001C43B5">
      <w:pPr>
        <w:spacing w:line="360" w:lineRule="auto"/>
        <w:rPr>
          <w:rFonts w:ascii="Arial" w:eastAsia="Times New Roman" w:hAnsi="Arial" w:cs="Arial"/>
          <w:b/>
          <w:bCs/>
          <w:sz w:val="32"/>
          <w:szCs w:val="24"/>
        </w:rPr>
      </w:pPr>
      <w:bookmarkStart w:id="7" w:name="_Toc42020739"/>
      <w:bookmarkStart w:id="8" w:name="_Toc42077776"/>
      <w:r>
        <w:rPr>
          <w:rFonts w:ascii="Arial" w:eastAsia="Times New Roman" w:hAnsi="Arial" w:cs="Arial"/>
          <w:b/>
          <w:bCs/>
          <w:sz w:val="32"/>
          <w:szCs w:val="24"/>
        </w:rPr>
        <w:lastRenderedPageBreak/>
        <w:t>Contents Page</w:t>
      </w:r>
    </w:p>
    <w:p w:rsidR="009C6886" w:rsidRPr="009C6886" w:rsidRDefault="008F7FF4">
      <w:pPr>
        <w:pStyle w:val="TOC1"/>
        <w:rPr>
          <w:rFonts w:asciiTheme="minorHAnsi" w:eastAsiaTheme="minorEastAsia" w:hAnsiTheme="minorHAnsi" w:cstheme="minorBidi"/>
          <w:noProof/>
          <w:szCs w:val="22"/>
          <w:lang w:eastAsia="en-GB"/>
        </w:rPr>
      </w:pPr>
      <w:r w:rsidRPr="009C6886">
        <w:fldChar w:fldCharType="begin"/>
      </w:r>
      <w:r w:rsidRPr="009C6886">
        <w:instrText xml:space="preserve"> TOC \o "1-1" \h \z \u </w:instrText>
      </w:r>
      <w:r w:rsidRPr="009C6886">
        <w:fldChar w:fldCharType="separate"/>
      </w:r>
      <w:hyperlink w:anchor="_Toc44574189" w:history="1">
        <w:r w:rsidR="009C6886" w:rsidRPr="009C6886">
          <w:rPr>
            <w:rStyle w:val="Hyperlink"/>
            <w:rFonts w:cs="Arial"/>
            <w:noProof/>
          </w:rPr>
          <w:t>Protocol for PRIMROSE Audit</w:t>
        </w:r>
        <w:r w:rsidR="009C6886" w:rsidRPr="009C6886">
          <w:rPr>
            <w:noProof/>
            <w:webHidden/>
          </w:rPr>
          <w:tab/>
        </w:r>
        <w:r w:rsidR="009C6886" w:rsidRPr="009C6886">
          <w:rPr>
            <w:noProof/>
            <w:webHidden/>
          </w:rPr>
          <w:fldChar w:fldCharType="begin"/>
        </w:r>
        <w:r w:rsidR="009C6886" w:rsidRPr="009C6886">
          <w:rPr>
            <w:noProof/>
            <w:webHidden/>
          </w:rPr>
          <w:instrText xml:space="preserve"> PAGEREF _Toc44574189 \h </w:instrText>
        </w:r>
        <w:r w:rsidR="009C6886" w:rsidRPr="009C6886">
          <w:rPr>
            <w:noProof/>
            <w:webHidden/>
          </w:rPr>
        </w:r>
        <w:r w:rsidR="009C6886" w:rsidRPr="009C6886">
          <w:rPr>
            <w:noProof/>
            <w:webHidden/>
          </w:rPr>
          <w:fldChar w:fldCharType="separate"/>
        </w:r>
        <w:r w:rsidR="009C6886" w:rsidRPr="009C6886">
          <w:rPr>
            <w:noProof/>
            <w:webHidden/>
          </w:rPr>
          <w:t>1</w:t>
        </w:r>
        <w:r w:rsidR="009C6886"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0" w:history="1">
        <w:r w:rsidRPr="009C6886">
          <w:rPr>
            <w:rStyle w:val="Hyperlink"/>
            <w:rFonts w:cs="Arial"/>
            <w:noProof/>
          </w:rPr>
          <w:t>A prospective multi-centre cohort study to assess the presentation, management and outcomes of patients with CNS disease secondary to breast cancer</w:t>
        </w:r>
        <w:r w:rsidRPr="009C6886">
          <w:rPr>
            <w:noProof/>
            <w:webHidden/>
          </w:rPr>
          <w:tab/>
        </w:r>
        <w:r w:rsidRPr="009C6886">
          <w:rPr>
            <w:noProof/>
            <w:webHidden/>
          </w:rPr>
          <w:fldChar w:fldCharType="begin"/>
        </w:r>
        <w:r w:rsidRPr="009C6886">
          <w:rPr>
            <w:noProof/>
            <w:webHidden/>
          </w:rPr>
          <w:instrText xml:space="preserve"> PAGEREF _Toc44574190 \h </w:instrText>
        </w:r>
        <w:r w:rsidRPr="009C6886">
          <w:rPr>
            <w:noProof/>
            <w:webHidden/>
          </w:rPr>
        </w:r>
        <w:r w:rsidRPr="009C6886">
          <w:rPr>
            <w:noProof/>
            <w:webHidden/>
          </w:rPr>
          <w:fldChar w:fldCharType="separate"/>
        </w:r>
        <w:r w:rsidRPr="009C6886">
          <w:rPr>
            <w:noProof/>
            <w:webHidden/>
          </w:rPr>
          <w:t>1</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1" w:history="1">
        <w:r w:rsidRPr="009C6886">
          <w:rPr>
            <w:rStyle w:val="Hyperlink"/>
            <w:rFonts w:cs="Arial"/>
            <w:noProof/>
          </w:rPr>
          <w:t>Protocol Approval</w:t>
        </w:r>
        <w:r w:rsidRPr="009C6886">
          <w:rPr>
            <w:noProof/>
            <w:webHidden/>
          </w:rPr>
          <w:tab/>
        </w:r>
        <w:r w:rsidRPr="009C6886">
          <w:rPr>
            <w:noProof/>
            <w:webHidden/>
          </w:rPr>
          <w:fldChar w:fldCharType="begin"/>
        </w:r>
        <w:r w:rsidRPr="009C6886">
          <w:rPr>
            <w:noProof/>
            <w:webHidden/>
          </w:rPr>
          <w:instrText xml:space="preserve"> PAGEREF _Toc44574191 \h </w:instrText>
        </w:r>
        <w:r w:rsidRPr="009C6886">
          <w:rPr>
            <w:noProof/>
            <w:webHidden/>
          </w:rPr>
        </w:r>
        <w:r w:rsidRPr="009C6886">
          <w:rPr>
            <w:noProof/>
            <w:webHidden/>
          </w:rPr>
          <w:fldChar w:fldCharType="separate"/>
        </w:r>
        <w:r w:rsidRPr="009C6886">
          <w:rPr>
            <w:noProof/>
            <w:webHidden/>
          </w:rPr>
          <w:t>3</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2" w:history="1">
        <w:r w:rsidRPr="009C6886">
          <w:rPr>
            <w:rStyle w:val="Hyperlink"/>
            <w:rFonts w:cs="Arial"/>
            <w:noProof/>
          </w:rPr>
          <w:t>General Information</w:t>
        </w:r>
        <w:r w:rsidRPr="009C6886">
          <w:rPr>
            <w:noProof/>
            <w:webHidden/>
          </w:rPr>
          <w:tab/>
        </w:r>
        <w:r w:rsidRPr="009C6886">
          <w:rPr>
            <w:noProof/>
            <w:webHidden/>
          </w:rPr>
          <w:fldChar w:fldCharType="begin"/>
        </w:r>
        <w:r w:rsidRPr="009C6886">
          <w:rPr>
            <w:noProof/>
            <w:webHidden/>
          </w:rPr>
          <w:instrText xml:space="preserve"> PAGEREF _Toc44574192 \h </w:instrText>
        </w:r>
        <w:r w:rsidRPr="009C6886">
          <w:rPr>
            <w:noProof/>
            <w:webHidden/>
          </w:rPr>
        </w:r>
        <w:r w:rsidRPr="009C6886">
          <w:rPr>
            <w:noProof/>
            <w:webHidden/>
          </w:rPr>
          <w:fldChar w:fldCharType="separate"/>
        </w:r>
        <w:r w:rsidRPr="009C6886">
          <w:rPr>
            <w:noProof/>
            <w:webHidden/>
          </w:rPr>
          <w:t>7</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3" w:history="1">
        <w:r w:rsidRPr="009C6886">
          <w:rPr>
            <w:rStyle w:val="Hyperlink"/>
            <w:rFonts w:cs="Arial"/>
            <w:noProof/>
          </w:rPr>
          <w:t>Contact Details: Institutions</w:t>
        </w:r>
        <w:r w:rsidRPr="009C6886">
          <w:rPr>
            <w:noProof/>
            <w:webHidden/>
          </w:rPr>
          <w:tab/>
        </w:r>
        <w:r w:rsidRPr="009C6886">
          <w:rPr>
            <w:noProof/>
            <w:webHidden/>
          </w:rPr>
          <w:fldChar w:fldCharType="begin"/>
        </w:r>
        <w:r w:rsidRPr="009C6886">
          <w:rPr>
            <w:noProof/>
            <w:webHidden/>
          </w:rPr>
          <w:instrText xml:space="preserve"> PAGEREF _Toc44574193 \h </w:instrText>
        </w:r>
        <w:r w:rsidRPr="009C6886">
          <w:rPr>
            <w:noProof/>
            <w:webHidden/>
          </w:rPr>
        </w:r>
        <w:r w:rsidRPr="009C6886">
          <w:rPr>
            <w:noProof/>
            <w:webHidden/>
          </w:rPr>
          <w:fldChar w:fldCharType="separate"/>
        </w:r>
        <w:r w:rsidRPr="009C6886">
          <w:rPr>
            <w:noProof/>
            <w:webHidden/>
          </w:rPr>
          <w:t>8</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4" w:history="1">
        <w:r w:rsidRPr="009C6886">
          <w:rPr>
            <w:rStyle w:val="Hyperlink"/>
            <w:rFonts w:cs="Arial"/>
            <w:noProof/>
          </w:rPr>
          <w:t>1.</w:t>
        </w:r>
        <w:r w:rsidRPr="009C6886">
          <w:rPr>
            <w:rFonts w:asciiTheme="minorHAnsi" w:eastAsiaTheme="minorEastAsia" w:hAnsiTheme="minorHAnsi" w:cstheme="minorBidi"/>
            <w:noProof/>
            <w:szCs w:val="22"/>
            <w:lang w:eastAsia="en-GB"/>
          </w:rPr>
          <w:tab/>
        </w:r>
        <w:r w:rsidRPr="009C6886">
          <w:rPr>
            <w:rStyle w:val="Hyperlink"/>
            <w:rFonts w:cs="Arial"/>
            <w:noProof/>
          </w:rPr>
          <w:t>Glossary</w:t>
        </w:r>
        <w:r w:rsidRPr="009C6886">
          <w:rPr>
            <w:noProof/>
            <w:webHidden/>
          </w:rPr>
          <w:tab/>
        </w:r>
        <w:r w:rsidRPr="009C6886">
          <w:rPr>
            <w:noProof/>
            <w:webHidden/>
          </w:rPr>
          <w:fldChar w:fldCharType="begin"/>
        </w:r>
        <w:r w:rsidRPr="009C6886">
          <w:rPr>
            <w:noProof/>
            <w:webHidden/>
          </w:rPr>
          <w:instrText xml:space="preserve"> PAGEREF _Toc44574194 \h </w:instrText>
        </w:r>
        <w:r w:rsidRPr="009C6886">
          <w:rPr>
            <w:noProof/>
            <w:webHidden/>
          </w:rPr>
        </w:r>
        <w:r w:rsidRPr="009C6886">
          <w:rPr>
            <w:noProof/>
            <w:webHidden/>
          </w:rPr>
          <w:fldChar w:fldCharType="separate"/>
        </w:r>
        <w:r w:rsidRPr="009C6886">
          <w:rPr>
            <w:noProof/>
            <w:webHidden/>
          </w:rPr>
          <w:t>10</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5" w:history="1">
        <w:r w:rsidRPr="009C6886">
          <w:rPr>
            <w:rStyle w:val="Hyperlink"/>
            <w:rFonts w:cs="Arial"/>
            <w:noProof/>
          </w:rPr>
          <w:t>2.</w:t>
        </w:r>
        <w:r w:rsidRPr="009C6886">
          <w:rPr>
            <w:rFonts w:asciiTheme="minorHAnsi" w:eastAsiaTheme="minorEastAsia" w:hAnsiTheme="minorHAnsi" w:cstheme="minorBidi"/>
            <w:noProof/>
            <w:szCs w:val="22"/>
            <w:lang w:eastAsia="en-GB"/>
          </w:rPr>
          <w:tab/>
        </w:r>
        <w:r w:rsidRPr="009C6886">
          <w:rPr>
            <w:rStyle w:val="Hyperlink"/>
            <w:rFonts w:cs="Arial"/>
            <w:noProof/>
          </w:rPr>
          <w:t>Protocol Overview</w:t>
        </w:r>
        <w:r w:rsidRPr="009C6886">
          <w:rPr>
            <w:noProof/>
            <w:webHidden/>
          </w:rPr>
          <w:tab/>
        </w:r>
        <w:r w:rsidRPr="009C6886">
          <w:rPr>
            <w:noProof/>
            <w:webHidden/>
          </w:rPr>
          <w:fldChar w:fldCharType="begin"/>
        </w:r>
        <w:r w:rsidRPr="009C6886">
          <w:rPr>
            <w:noProof/>
            <w:webHidden/>
          </w:rPr>
          <w:instrText xml:space="preserve"> PAGEREF _Toc44574195 \h </w:instrText>
        </w:r>
        <w:r w:rsidRPr="009C6886">
          <w:rPr>
            <w:noProof/>
            <w:webHidden/>
          </w:rPr>
        </w:r>
        <w:r w:rsidRPr="009C6886">
          <w:rPr>
            <w:noProof/>
            <w:webHidden/>
          </w:rPr>
          <w:fldChar w:fldCharType="separate"/>
        </w:r>
        <w:r w:rsidRPr="009C6886">
          <w:rPr>
            <w:noProof/>
            <w:webHidden/>
          </w:rPr>
          <w:t>11</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6" w:history="1">
        <w:r w:rsidRPr="009C6886">
          <w:rPr>
            <w:rStyle w:val="Hyperlink"/>
            <w:rFonts w:cs="Arial"/>
            <w:noProof/>
          </w:rPr>
          <w:t>3.</w:t>
        </w:r>
        <w:r w:rsidRPr="009C6886">
          <w:rPr>
            <w:rFonts w:asciiTheme="minorHAnsi" w:eastAsiaTheme="minorEastAsia" w:hAnsiTheme="minorHAnsi" w:cstheme="minorBidi"/>
            <w:noProof/>
            <w:szCs w:val="22"/>
            <w:lang w:eastAsia="en-GB"/>
          </w:rPr>
          <w:tab/>
        </w:r>
        <w:r w:rsidRPr="009C6886">
          <w:rPr>
            <w:rStyle w:val="Hyperlink"/>
            <w:rFonts w:cs="Arial"/>
            <w:noProof/>
          </w:rPr>
          <w:t>Schematic of Study Design</w:t>
        </w:r>
        <w:r w:rsidRPr="009C6886">
          <w:rPr>
            <w:noProof/>
            <w:webHidden/>
          </w:rPr>
          <w:tab/>
        </w:r>
        <w:r w:rsidRPr="009C6886">
          <w:rPr>
            <w:noProof/>
            <w:webHidden/>
          </w:rPr>
          <w:fldChar w:fldCharType="begin"/>
        </w:r>
        <w:r w:rsidRPr="009C6886">
          <w:rPr>
            <w:noProof/>
            <w:webHidden/>
          </w:rPr>
          <w:instrText xml:space="preserve"> PAGEREF _Toc44574196 \h </w:instrText>
        </w:r>
        <w:r w:rsidRPr="009C6886">
          <w:rPr>
            <w:noProof/>
            <w:webHidden/>
          </w:rPr>
        </w:r>
        <w:r w:rsidRPr="009C6886">
          <w:rPr>
            <w:noProof/>
            <w:webHidden/>
          </w:rPr>
          <w:fldChar w:fldCharType="separate"/>
        </w:r>
        <w:r w:rsidRPr="009C6886">
          <w:rPr>
            <w:noProof/>
            <w:webHidden/>
          </w:rPr>
          <w:t>13</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7" w:history="1">
        <w:r w:rsidRPr="009C6886">
          <w:rPr>
            <w:rStyle w:val="Hyperlink"/>
            <w:rFonts w:cs="Arial"/>
            <w:noProof/>
          </w:rPr>
          <w:t>4.</w:t>
        </w:r>
        <w:r w:rsidRPr="009C6886">
          <w:rPr>
            <w:rFonts w:asciiTheme="minorHAnsi" w:eastAsiaTheme="minorEastAsia" w:hAnsiTheme="minorHAnsi" w:cstheme="minorBidi"/>
            <w:noProof/>
            <w:szCs w:val="22"/>
            <w:lang w:eastAsia="en-GB"/>
          </w:rPr>
          <w:tab/>
        </w:r>
        <w:r w:rsidRPr="009C6886">
          <w:rPr>
            <w:rStyle w:val="Hyperlink"/>
            <w:rFonts w:cs="Arial"/>
            <w:noProof/>
          </w:rPr>
          <w:t>Roles and Responsibilities</w:t>
        </w:r>
        <w:r w:rsidRPr="009C6886">
          <w:rPr>
            <w:noProof/>
            <w:webHidden/>
          </w:rPr>
          <w:tab/>
        </w:r>
        <w:r w:rsidRPr="009C6886">
          <w:rPr>
            <w:noProof/>
            <w:webHidden/>
          </w:rPr>
          <w:fldChar w:fldCharType="begin"/>
        </w:r>
        <w:r w:rsidRPr="009C6886">
          <w:rPr>
            <w:noProof/>
            <w:webHidden/>
          </w:rPr>
          <w:instrText xml:space="preserve"> PAGEREF _Toc44574197 \h </w:instrText>
        </w:r>
        <w:r w:rsidRPr="009C6886">
          <w:rPr>
            <w:noProof/>
            <w:webHidden/>
          </w:rPr>
        </w:r>
        <w:r w:rsidRPr="009C6886">
          <w:rPr>
            <w:noProof/>
            <w:webHidden/>
          </w:rPr>
          <w:fldChar w:fldCharType="separate"/>
        </w:r>
        <w:r w:rsidRPr="009C6886">
          <w:rPr>
            <w:noProof/>
            <w:webHidden/>
          </w:rPr>
          <w:t>14</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8" w:history="1">
        <w:r w:rsidRPr="009C6886">
          <w:rPr>
            <w:rStyle w:val="Hyperlink"/>
            <w:rFonts w:cs="Arial"/>
            <w:noProof/>
          </w:rPr>
          <w:t>5.</w:t>
        </w:r>
        <w:r w:rsidRPr="009C6886">
          <w:rPr>
            <w:rFonts w:asciiTheme="minorHAnsi" w:eastAsiaTheme="minorEastAsia" w:hAnsiTheme="minorHAnsi" w:cstheme="minorBidi"/>
            <w:noProof/>
            <w:szCs w:val="22"/>
            <w:lang w:eastAsia="en-GB"/>
          </w:rPr>
          <w:tab/>
        </w:r>
        <w:r w:rsidRPr="009C6886">
          <w:rPr>
            <w:rStyle w:val="Hyperlink"/>
            <w:rFonts w:cs="Arial"/>
            <w:noProof/>
          </w:rPr>
          <w:t>Introduction</w:t>
        </w:r>
        <w:r w:rsidRPr="009C6886">
          <w:rPr>
            <w:noProof/>
            <w:webHidden/>
          </w:rPr>
          <w:tab/>
        </w:r>
        <w:r w:rsidRPr="009C6886">
          <w:rPr>
            <w:noProof/>
            <w:webHidden/>
          </w:rPr>
          <w:fldChar w:fldCharType="begin"/>
        </w:r>
        <w:r w:rsidRPr="009C6886">
          <w:rPr>
            <w:noProof/>
            <w:webHidden/>
          </w:rPr>
          <w:instrText xml:space="preserve"> PAGEREF _Toc44574198 \h </w:instrText>
        </w:r>
        <w:r w:rsidRPr="009C6886">
          <w:rPr>
            <w:noProof/>
            <w:webHidden/>
          </w:rPr>
        </w:r>
        <w:r w:rsidRPr="009C6886">
          <w:rPr>
            <w:noProof/>
            <w:webHidden/>
          </w:rPr>
          <w:fldChar w:fldCharType="separate"/>
        </w:r>
        <w:r w:rsidRPr="009C6886">
          <w:rPr>
            <w:noProof/>
            <w:webHidden/>
          </w:rPr>
          <w:t>18</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199" w:history="1">
        <w:r w:rsidRPr="009C6886">
          <w:rPr>
            <w:rStyle w:val="Hyperlink"/>
            <w:rFonts w:cs="Arial"/>
            <w:noProof/>
          </w:rPr>
          <w:t>6.</w:t>
        </w:r>
        <w:r w:rsidRPr="009C6886">
          <w:rPr>
            <w:rFonts w:asciiTheme="minorHAnsi" w:eastAsiaTheme="minorEastAsia" w:hAnsiTheme="minorHAnsi" w:cstheme="minorBidi"/>
            <w:noProof/>
            <w:szCs w:val="22"/>
            <w:lang w:eastAsia="en-GB"/>
          </w:rPr>
          <w:tab/>
        </w:r>
        <w:r w:rsidRPr="009C6886">
          <w:rPr>
            <w:rStyle w:val="Hyperlink"/>
            <w:rFonts w:cs="Arial"/>
            <w:noProof/>
          </w:rPr>
          <w:t>Study Design</w:t>
        </w:r>
        <w:r w:rsidRPr="009C6886">
          <w:rPr>
            <w:noProof/>
            <w:webHidden/>
          </w:rPr>
          <w:tab/>
        </w:r>
        <w:r w:rsidRPr="009C6886">
          <w:rPr>
            <w:noProof/>
            <w:webHidden/>
          </w:rPr>
          <w:fldChar w:fldCharType="begin"/>
        </w:r>
        <w:r w:rsidRPr="009C6886">
          <w:rPr>
            <w:noProof/>
            <w:webHidden/>
          </w:rPr>
          <w:instrText xml:space="preserve"> PAGEREF _Toc44574199 \h </w:instrText>
        </w:r>
        <w:r w:rsidRPr="009C6886">
          <w:rPr>
            <w:noProof/>
            <w:webHidden/>
          </w:rPr>
        </w:r>
        <w:r w:rsidRPr="009C6886">
          <w:rPr>
            <w:noProof/>
            <w:webHidden/>
          </w:rPr>
          <w:fldChar w:fldCharType="separate"/>
        </w:r>
        <w:r w:rsidRPr="009C6886">
          <w:rPr>
            <w:noProof/>
            <w:webHidden/>
          </w:rPr>
          <w:t>24</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0" w:history="1">
        <w:r w:rsidRPr="009C6886">
          <w:rPr>
            <w:rStyle w:val="Hyperlink"/>
            <w:rFonts w:cs="Arial"/>
            <w:noProof/>
          </w:rPr>
          <w:t>7.</w:t>
        </w:r>
        <w:r w:rsidRPr="009C6886">
          <w:rPr>
            <w:rFonts w:asciiTheme="minorHAnsi" w:eastAsiaTheme="minorEastAsia" w:hAnsiTheme="minorHAnsi" w:cstheme="minorBidi"/>
            <w:noProof/>
            <w:szCs w:val="22"/>
            <w:lang w:eastAsia="en-GB"/>
          </w:rPr>
          <w:tab/>
        </w:r>
        <w:r w:rsidRPr="009C6886">
          <w:rPr>
            <w:rStyle w:val="Hyperlink"/>
            <w:rFonts w:cs="Arial"/>
            <w:noProof/>
          </w:rPr>
          <w:t>Eligibility Criteria</w:t>
        </w:r>
        <w:r w:rsidRPr="009C6886">
          <w:rPr>
            <w:noProof/>
            <w:webHidden/>
          </w:rPr>
          <w:tab/>
        </w:r>
        <w:r w:rsidRPr="009C6886">
          <w:rPr>
            <w:noProof/>
            <w:webHidden/>
          </w:rPr>
          <w:fldChar w:fldCharType="begin"/>
        </w:r>
        <w:r w:rsidRPr="009C6886">
          <w:rPr>
            <w:noProof/>
            <w:webHidden/>
          </w:rPr>
          <w:instrText xml:space="preserve"> PAGEREF _Toc44574200 \h </w:instrText>
        </w:r>
        <w:r w:rsidRPr="009C6886">
          <w:rPr>
            <w:noProof/>
            <w:webHidden/>
          </w:rPr>
        </w:r>
        <w:r w:rsidRPr="009C6886">
          <w:rPr>
            <w:noProof/>
            <w:webHidden/>
          </w:rPr>
          <w:fldChar w:fldCharType="separate"/>
        </w:r>
        <w:r w:rsidRPr="009C6886">
          <w:rPr>
            <w:noProof/>
            <w:webHidden/>
          </w:rPr>
          <w:t>26</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1" w:history="1">
        <w:r w:rsidRPr="009C6886">
          <w:rPr>
            <w:rStyle w:val="Hyperlink"/>
            <w:rFonts w:cs="Arial"/>
            <w:noProof/>
          </w:rPr>
          <w:t>8.</w:t>
        </w:r>
        <w:r w:rsidRPr="009C6886">
          <w:rPr>
            <w:rFonts w:asciiTheme="minorHAnsi" w:eastAsiaTheme="minorEastAsia" w:hAnsiTheme="minorHAnsi" w:cstheme="minorBidi"/>
            <w:noProof/>
            <w:szCs w:val="22"/>
            <w:lang w:eastAsia="en-GB"/>
          </w:rPr>
          <w:tab/>
        </w:r>
        <w:r w:rsidRPr="009C6886">
          <w:rPr>
            <w:rStyle w:val="Hyperlink"/>
            <w:rFonts w:cs="Arial"/>
            <w:noProof/>
          </w:rPr>
          <w:t>Outcomes</w:t>
        </w:r>
        <w:r w:rsidRPr="009C6886">
          <w:rPr>
            <w:noProof/>
            <w:webHidden/>
          </w:rPr>
          <w:tab/>
        </w:r>
        <w:r w:rsidRPr="009C6886">
          <w:rPr>
            <w:noProof/>
            <w:webHidden/>
          </w:rPr>
          <w:fldChar w:fldCharType="begin"/>
        </w:r>
        <w:r w:rsidRPr="009C6886">
          <w:rPr>
            <w:noProof/>
            <w:webHidden/>
          </w:rPr>
          <w:instrText xml:space="preserve"> PAGEREF _Toc44574201 \h </w:instrText>
        </w:r>
        <w:r w:rsidRPr="009C6886">
          <w:rPr>
            <w:noProof/>
            <w:webHidden/>
          </w:rPr>
        </w:r>
        <w:r w:rsidRPr="009C6886">
          <w:rPr>
            <w:noProof/>
            <w:webHidden/>
          </w:rPr>
          <w:fldChar w:fldCharType="separate"/>
        </w:r>
        <w:r w:rsidRPr="009C6886">
          <w:rPr>
            <w:noProof/>
            <w:webHidden/>
          </w:rPr>
          <w:t>27</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2" w:history="1">
        <w:r w:rsidRPr="009C6886">
          <w:rPr>
            <w:rStyle w:val="Hyperlink"/>
            <w:rFonts w:cs="Arial"/>
            <w:noProof/>
          </w:rPr>
          <w:t>9.</w:t>
        </w:r>
        <w:r w:rsidRPr="009C6886">
          <w:rPr>
            <w:rFonts w:asciiTheme="minorHAnsi" w:eastAsiaTheme="minorEastAsia" w:hAnsiTheme="minorHAnsi" w:cstheme="minorBidi"/>
            <w:noProof/>
            <w:szCs w:val="22"/>
            <w:lang w:eastAsia="en-GB"/>
          </w:rPr>
          <w:tab/>
        </w:r>
        <w:r w:rsidRPr="009C6886">
          <w:rPr>
            <w:rStyle w:val="Hyperlink"/>
            <w:rFonts w:cs="Arial"/>
            <w:noProof/>
          </w:rPr>
          <w:t>Participant Timelines and Assessments</w:t>
        </w:r>
        <w:r w:rsidRPr="009C6886">
          <w:rPr>
            <w:noProof/>
            <w:webHidden/>
          </w:rPr>
          <w:tab/>
        </w:r>
        <w:r w:rsidRPr="009C6886">
          <w:rPr>
            <w:noProof/>
            <w:webHidden/>
          </w:rPr>
          <w:fldChar w:fldCharType="begin"/>
        </w:r>
        <w:r w:rsidRPr="009C6886">
          <w:rPr>
            <w:noProof/>
            <w:webHidden/>
          </w:rPr>
          <w:instrText xml:space="preserve"> PAGEREF _Toc44574202 \h </w:instrText>
        </w:r>
        <w:r w:rsidRPr="009C6886">
          <w:rPr>
            <w:noProof/>
            <w:webHidden/>
          </w:rPr>
        </w:r>
        <w:r w:rsidRPr="009C6886">
          <w:rPr>
            <w:noProof/>
            <w:webHidden/>
          </w:rPr>
          <w:fldChar w:fldCharType="separate"/>
        </w:r>
        <w:r w:rsidRPr="009C6886">
          <w:rPr>
            <w:noProof/>
            <w:webHidden/>
          </w:rPr>
          <w:t>29</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3" w:history="1">
        <w:r w:rsidRPr="009C6886">
          <w:rPr>
            <w:rStyle w:val="Hyperlink"/>
            <w:rFonts w:cs="Arial"/>
            <w:noProof/>
          </w:rPr>
          <w:t>10.   Safety Reporting</w:t>
        </w:r>
        <w:r w:rsidRPr="009C6886">
          <w:rPr>
            <w:noProof/>
            <w:webHidden/>
          </w:rPr>
          <w:tab/>
        </w:r>
        <w:r w:rsidRPr="009C6886">
          <w:rPr>
            <w:noProof/>
            <w:webHidden/>
          </w:rPr>
          <w:fldChar w:fldCharType="begin"/>
        </w:r>
        <w:r w:rsidRPr="009C6886">
          <w:rPr>
            <w:noProof/>
            <w:webHidden/>
          </w:rPr>
          <w:instrText xml:space="preserve"> PAGEREF _Toc44574203 \h </w:instrText>
        </w:r>
        <w:r w:rsidRPr="009C6886">
          <w:rPr>
            <w:noProof/>
            <w:webHidden/>
          </w:rPr>
        </w:r>
        <w:r w:rsidRPr="009C6886">
          <w:rPr>
            <w:noProof/>
            <w:webHidden/>
          </w:rPr>
          <w:fldChar w:fldCharType="separate"/>
        </w:r>
        <w:r w:rsidRPr="009C6886">
          <w:rPr>
            <w:noProof/>
            <w:webHidden/>
          </w:rPr>
          <w:t>32</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4" w:history="1">
        <w:r w:rsidRPr="009C6886">
          <w:rPr>
            <w:rStyle w:val="Hyperlink"/>
            <w:rFonts w:cs="Arial"/>
            <w:noProof/>
          </w:rPr>
          <w:t>11.   Statistical Considerations</w:t>
        </w:r>
        <w:r w:rsidRPr="009C6886">
          <w:rPr>
            <w:noProof/>
            <w:webHidden/>
          </w:rPr>
          <w:tab/>
        </w:r>
        <w:r w:rsidRPr="009C6886">
          <w:rPr>
            <w:noProof/>
            <w:webHidden/>
          </w:rPr>
          <w:fldChar w:fldCharType="begin"/>
        </w:r>
        <w:r w:rsidRPr="009C6886">
          <w:rPr>
            <w:noProof/>
            <w:webHidden/>
          </w:rPr>
          <w:instrText xml:space="preserve"> PAGEREF _Toc44574204 \h </w:instrText>
        </w:r>
        <w:r w:rsidRPr="009C6886">
          <w:rPr>
            <w:noProof/>
            <w:webHidden/>
          </w:rPr>
        </w:r>
        <w:r w:rsidRPr="009C6886">
          <w:rPr>
            <w:noProof/>
            <w:webHidden/>
          </w:rPr>
          <w:fldChar w:fldCharType="separate"/>
        </w:r>
        <w:r w:rsidRPr="009C6886">
          <w:rPr>
            <w:noProof/>
            <w:webHidden/>
          </w:rPr>
          <w:t>33</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5" w:history="1">
        <w:r w:rsidRPr="009C6886">
          <w:rPr>
            <w:rStyle w:val="Hyperlink"/>
            <w:rFonts w:cs="Arial"/>
            <w:noProof/>
          </w:rPr>
          <w:t>12.</w:t>
        </w:r>
        <w:r w:rsidRPr="009C6886">
          <w:rPr>
            <w:rFonts w:asciiTheme="minorHAnsi" w:eastAsiaTheme="minorEastAsia" w:hAnsiTheme="minorHAnsi" w:cstheme="minorBidi"/>
            <w:noProof/>
            <w:szCs w:val="22"/>
            <w:lang w:eastAsia="en-GB"/>
          </w:rPr>
          <w:tab/>
        </w:r>
        <w:r w:rsidRPr="009C6886">
          <w:rPr>
            <w:rStyle w:val="Hyperlink"/>
            <w:rFonts w:cs="Arial"/>
            <w:noProof/>
          </w:rPr>
          <w:t>Data Management and Audit Monitoring</w:t>
        </w:r>
        <w:r w:rsidRPr="009C6886">
          <w:rPr>
            <w:noProof/>
            <w:webHidden/>
          </w:rPr>
          <w:tab/>
        </w:r>
        <w:r w:rsidRPr="009C6886">
          <w:rPr>
            <w:noProof/>
            <w:webHidden/>
          </w:rPr>
          <w:fldChar w:fldCharType="begin"/>
        </w:r>
        <w:r w:rsidRPr="009C6886">
          <w:rPr>
            <w:noProof/>
            <w:webHidden/>
          </w:rPr>
          <w:instrText xml:space="preserve"> PAGEREF _Toc44574205 \h </w:instrText>
        </w:r>
        <w:r w:rsidRPr="009C6886">
          <w:rPr>
            <w:noProof/>
            <w:webHidden/>
          </w:rPr>
        </w:r>
        <w:r w:rsidRPr="009C6886">
          <w:rPr>
            <w:noProof/>
            <w:webHidden/>
          </w:rPr>
          <w:fldChar w:fldCharType="separate"/>
        </w:r>
        <w:r w:rsidRPr="009C6886">
          <w:rPr>
            <w:noProof/>
            <w:webHidden/>
          </w:rPr>
          <w:t>35</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6" w:history="1">
        <w:r w:rsidRPr="009C6886">
          <w:rPr>
            <w:rStyle w:val="Hyperlink"/>
            <w:rFonts w:cs="Arial"/>
            <w:noProof/>
          </w:rPr>
          <w:t>13.</w:t>
        </w:r>
        <w:r w:rsidRPr="009C6886">
          <w:rPr>
            <w:rFonts w:asciiTheme="minorHAnsi" w:eastAsiaTheme="minorEastAsia" w:hAnsiTheme="minorHAnsi" w:cstheme="minorBidi"/>
            <w:noProof/>
            <w:szCs w:val="22"/>
            <w:lang w:eastAsia="en-GB"/>
          </w:rPr>
          <w:tab/>
        </w:r>
        <w:r w:rsidRPr="009C6886">
          <w:rPr>
            <w:rStyle w:val="Hyperlink"/>
            <w:rFonts w:cs="Arial"/>
            <w:noProof/>
          </w:rPr>
          <w:t>Regulatory and Ethical Considerations</w:t>
        </w:r>
        <w:r w:rsidRPr="009C6886">
          <w:rPr>
            <w:noProof/>
            <w:webHidden/>
          </w:rPr>
          <w:tab/>
        </w:r>
        <w:r w:rsidRPr="009C6886">
          <w:rPr>
            <w:noProof/>
            <w:webHidden/>
          </w:rPr>
          <w:fldChar w:fldCharType="begin"/>
        </w:r>
        <w:r w:rsidRPr="009C6886">
          <w:rPr>
            <w:noProof/>
            <w:webHidden/>
          </w:rPr>
          <w:instrText xml:space="preserve"> PAGEREF _Toc44574206 \h </w:instrText>
        </w:r>
        <w:r w:rsidRPr="009C6886">
          <w:rPr>
            <w:noProof/>
            <w:webHidden/>
          </w:rPr>
        </w:r>
        <w:r w:rsidRPr="009C6886">
          <w:rPr>
            <w:noProof/>
            <w:webHidden/>
          </w:rPr>
          <w:fldChar w:fldCharType="separate"/>
        </w:r>
        <w:r w:rsidRPr="009C6886">
          <w:rPr>
            <w:noProof/>
            <w:webHidden/>
          </w:rPr>
          <w:t>39</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7" w:history="1">
        <w:r w:rsidRPr="009C6886">
          <w:rPr>
            <w:rStyle w:val="Hyperlink"/>
            <w:rFonts w:cs="Arial"/>
            <w:noProof/>
          </w:rPr>
          <w:t>14.</w:t>
        </w:r>
        <w:r w:rsidRPr="009C6886">
          <w:rPr>
            <w:rFonts w:asciiTheme="minorHAnsi" w:eastAsiaTheme="minorEastAsia" w:hAnsiTheme="minorHAnsi" w:cstheme="minorBidi"/>
            <w:noProof/>
            <w:szCs w:val="22"/>
            <w:lang w:eastAsia="en-GB"/>
          </w:rPr>
          <w:tab/>
        </w:r>
        <w:r w:rsidRPr="009C6886">
          <w:rPr>
            <w:rStyle w:val="Hyperlink"/>
            <w:rFonts w:cs="Arial"/>
            <w:noProof/>
          </w:rPr>
          <w:t>Indemnity</w:t>
        </w:r>
        <w:r w:rsidRPr="009C6886">
          <w:rPr>
            <w:noProof/>
            <w:webHidden/>
          </w:rPr>
          <w:tab/>
        </w:r>
        <w:r w:rsidRPr="009C6886">
          <w:rPr>
            <w:noProof/>
            <w:webHidden/>
          </w:rPr>
          <w:fldChar w:fldCharType="begin"/>
        </w:r>
        <w:r w:rsidRPr="009C6886">
          <w:rPr>
            <w:noProof/>
            <w:webHidden/>
          </w:rPr>
          <w:instrText xml:space="preserve"> PAGEREF _Toc44574207 \h </w:instrText>
        </w:r>
        <w:r w:rsidRPr="009C6886">
          <w:rPr>
            <w:noProof/>
            <w:webHidden/>
          </w:rPr>
        </w:r>
        <w:r w:rsidRPr="009C6886">
          <w:rPr>
            <w:noProof/>
            <w:webHidden/>
          </w:rPr>
          <w:fldChar w:fldCharType="separate"/>
        </w:r>
        <w:r w:rsidRPr="009C6886">
          <w:rPr>
            <w:noProof/>
            <w:webHidden/>
          </w:rPr>
          <w:t>41</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8" w:history="1">
        <w:r w:rsidRPr="009C6886">
          <w:rPr>
            <w:rStyle w:val="Hyperlink"/>
            <w:rFonts w:cs="Arial"/>
            <w:noProof/>
          </w:rPr>
          <w:t>15.</w:t>
        </w:r>
        <w:r w:rsidRPr="009C6886">
          <w:rPr>
            <w:rFonts w:asciiTheme="minorHAnsi" w:eastAsiaTheme="minorEastAsia" w:hAnsiTheme="minorHAnsi" w:cstheme="minorBidi"/>
            <w:noProof/>
            <w:szCs w:val="22"/>
            <w:lang w:eastAsia="en-GB"/>
          </w:rPr>
          <w:tab/>
        </w:r>
        <w:r w:rsidRPr="009C6886">
          <w:rPr>
            <w:rStyle w:val="Hyperlink"/>
            <w:rFonts w:cs="Arial"/>
            <w:noProof/>
          </w:rPr>
          <w:t>Publication and Dissemination</w:t>
        </w:r>
        <w:r w:rsidRPr="009C6886">
          <w:rPr>
            <w:noProof/>
            <w:webHidden/>
          </w:rPr>
          <w:tab/>
        </w:r>
        <w:r w:rsidRPr="009C6886">
          <w:rPr>
            <w:noProof/>
            <w:webHidden/>
          </w:rPr>
          <w:fldChar w:fldCharType="begin"/>
        </w:r>
        <w:r w:rsidRPr="009C6886">
          <w:rPr>
            <w:noProof/>
            <w:webHidden/>
          </w:rPr>
          <w:instrText xml:space="preserve"> PAGEREF _Toc44574208 \h </w:instrText>
        </w:r>
        <w:r w:rsidRPr="009C6886">
          <w:rPr>
            <w:noProof/>
            <w:webHidden/>
          </w:rPr>
        </w:r>
        <w:r w:rsidRPr="009C6886">
          <w:rPr>
            <w:noProof/>
            <w:webHidden/>
          </w:rPr>
          <w:fldChar w:fldCharType="separate"/>
        </w:r>
        <w:r w:rsidRPr="009C6886">
          <w:rPr>
            <w:noProof/>
            <w:webHidden/>
          </w:rPr>
          <w:t>42</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09" w:history="1">
        <w:r w:rsidRPr="009C6886">
          <w:rPr>
            <w:rStyle w:val="Hyperlink"/>
            <w:rFonts w:cs="Arial"/>
            <w:noProof/>
          </w:rPr>
          <w:t>16.</w:t>
        </w:r>
        <w:r w:rsidRPr="009C6886">
          <w:rPr>
            <w:rFonts w:asciiTheme="minorHAnsi" w:eastAsiaTheme="minorEastAsia" w:hAnsiTheme="minorHAnsi" w:cstheme="minorBidi"/>
            <w:noProof/>
            <w:szCs w:val="22"/>
            <w:lang w:eastAsia="en-GB"/>
          </w:rPr>
          <w:tab/>
        </w:r>
        <w:r w:rsidRPr="009C6886">
          <w:rPr>
            <w:rStyle w:val="Hyperlink"/>
            <w:rFonts w:cs="Arial"/>
            <w:noProof/>
          </w:rPr>
          <w:t>Chronology of Protocol Amendments</w:t>
        </w:r>
        <w:r w:rsidRPr="009C6886">
          <w:rPr>
            <w:noProof/>
            <w:webHidden/>
          </w:rPr>
          <w:tab/>
        </w:r>
        <w:r w:rsidRPr="009C6886">
          <w:rPr>
            <w:noProof/>
            <w:webHidden/>
          </w:rPr>
          <w:fldChar w:fldCharType="begin"/>
        </w:r>
        <w:r w:rsidRPr="009C6886">
          <w:rPr>
            <w:noProof/>
            <w:webHidden/>
          </w:rPr>
          <w:instrText xml:space="preserve"> PAGEREF _Toc44574209 \h </w:instrText>
        </w:r>
        <w:r w:rsidRPr="009C6886">
          <w:rPr>
            <w:noProof/>
            <w:webHidden/>
          </w:rPr>
        </w:r>
        <w:r w:rsidRPr="009C6886">
          <w:rPr>
            <w:noProof/>
            <w:webHidden/>
          </w:rPr>
          <w:fldChar w:fldCharType="separate"/>
        </w:r>
        <w:r w:rsidRPr="009C6886">
          <w:rPr>
            <w:noProof/>
            <w:webHidden/>
          </w:rPr>
          <w:t>44</w:t>
        </w:r>
        <w:r w:rsidRPr="009C6886">
          <w:rPr>
            <w:noProof/>
            <w:webHidden/>
          </w:rPr>
          <w:fldChar w:fldCharType="end"/>
        </w:r>
      </w:hyperlink>
    </w:p>
    <w:p w:rsidR="009C6886" w:rsidRPr="009C6886" w:rsidRDefault="009C6886">
      <w:pPr>
        <w:pStyle w:val="TOC1"/>
        <w:rPr>
          <w:rFonts w:asciiTheme="minorHAnsi" w:eastAsiaTheme="minorEastAsia" w:hAnsiTheme="minorHAnsi" w:cstheme="minorBidi"/>
          <w:noProof/>
          <w:szCs w:val="22"/>
          <w:lang w:eastAsia="en-GB"/>
        </w:rPr>
      </w:pPr>
      <w:hyperlink w:anchor="_Toc44574210" w:history="1">
        <w:r w:rsidRPr="009C6886">
          <w:rPr>
            <w:rStyle w:val="Hyperlink"/>
            <w:rFonts w:cs="Arial"/>
            <w:noProof/>
          </w:rPr>
          <w:t>17.</w:t>
        </w:r>
        <w:r w:rsidRPr="009C6886">
          <w:rPr>
            <w:rFonts w:asciiTheme="minorHAnsi" w:eastAsiaTheme="minorEastAsia" w:hAnsiTheme="minorHAnsi" w:cstheme="minorBidi"/>
            <w:noProof/>
            <w:szCs w:val="22"/>
            <w:lang w:eastAsia="en-GB"/>
          </w:rPr>
          <w:tab/>
        </w:r>
        <w:r w:rsidRPr="009C6886">
          <w:rPr>
            <w:rStyle w:val="Hyperlink"/>
            <w:rFonts w:cs="Arial"/>
            <w:noProof/>
          </w:rPr>
          <w:t>References</w:t>
        </w:r>
        <w:r w:rsidRPr="009C6886">
          <w:rPr>
            <w:noProof/>
            <w:webHidden/>
          </w:rPr>
          <w:tab/>
        </w:r>
        <w:r w:rsidRPr="009C6886">
          <w:rPr>
            <w:noProof/>
            <w:webHidden/>
          </w:rPr>
          <w:fldChar w:fldCharType="begin"/>
        </w:r>
        <w:r w:rsidRPr="009C6886">
          <w:rPr>
            <w:noProof/>
            <w:webHidden/>
          </w:rPr>
          <w:instrText xml:space="preserve"> PAGEREF _Toc44574210 \h </w:instrText>
        </w:r>
        <w:r w:rsidRPr="009C6886">
          <w:rPr>
            <w:noProof/>
            <w:webHidden/>
          </w:rPr>
        </w:r>
        <w:r w:rsidRPr="009C6886">
          <w:rPr>
            <w:noProof/>
            <w:webHidden/>
          </w:rPr>
          <w:fldChar w:fldCharType="separate"/>
        </w:r>
        <w:r w:rsidRPr="009C6886">
          <w:rPr>
            <w:noProof/>
            <w:webHidden/>
          </w:rPr>
          <w:t>45</w:t>
        </w:r>
        <w:r w:rsidRPr="009C6886">
          <w:rPr>
            <w:noProof/>
            <w:webHidden/>
          </w:rPr>
          <w:fldChar w:fldCharType="end"/>
        </w:r>
      </w:hyperlink>
    </w:p>
    <w:p w:rsidR="008F7FF4" w:rsidRPr="008F7FF4" w:rsidRDefault="008F7FF4" w:rsidP="001C43B5">
      <w:pPr>
        <w:spacing w:line="360" w:lineRule="auto"/>
        <w:rPr>
          <w:rFonts w:ascii="Arial" w:eastAsia="Times New Roman" w:hAnsi="Arial" w:cs="Arial"/>
          <w:sz w:val="32"/>
          <w:szCs w:val="24"/>
        </w:rPr>
      </w:pPr>
      <w:r w:rsidRPr="009C6886">
        <w:rPr>
          <w:rFonts w:ascii="Arial" w:eastAsia="Times New Roman" w:hAnsi="Arial" w:cs="Arial"/>
          <w:sz w:val="32"/>
          <w:szCs w:val="24"/>
        </w:rPr>
        <w:fldChar w:fldCharType="end"/>
      </w:r>
      <w:r w:rsidRPr="008F7FF4">
        <w:rPr>
          <w:rFonts w:ascii="Arial" w:eastAsia="Times New Roman" w:hAnsi="Arial" w:cs="Arial"/>
          <w:sz w:val="32"/>
          <w:szCs w:val="24"/>
        </w:rPr>
        <w:br w:type="page"/>
      </w:r>
    </w:p>
    <w:p w:rsidR="003B3B59" w:rsidRPr="003B3B59" w:rsidRDefault="003B3B59" w:rsidP="001C43B5">
      <w:pPr>
        <w:keepNext/>
        <w:pageBreakBefore/>
        <w:spacing w:after="360" w:line="360" w:lineRule="auto"/>
        <w:ind w:left="432" w:hanging="432"/>
        <w:outlineLvl w:val="0"/>
        <w:rPr>
          <w:rFonts w:ascii="Arial" w:eastAsia="Times New Roman" w:hAnsi="Arial" w:cs="Arial"/>
          <w:b/>
          <w:bCs/>
          <w:sz w:val="32"/>
          <w:szCs w:val="24"/>
        </w:rPr>
      </w:pPr>
      <w:bookmarkStart w:id="9" w:name="_Toc44574191"/>
      <w:r w:rsidRPr="003B3B59">
        <w:rPr>
          <w:rFonts w:ascii="Arial" w:eastAsia="Times New Roman" w:hAnsi="Arial" w:cs="Arial"/>
          <w:b/>
          <w:bCs/>
          <w:sz w:val="32"/>
          <w:szCs w:val="24"/>
        </w:rPr>
        <w:lastRenderedPageBreak/>
        <w:t>Protocol Approval</w:t>
      </w:r>
      <w:bookmarkEnd w:id="7"/>
      <w:bookmarkEnd w:id="8"/>
      <w:bookmarkEnd w:id="9"/>
      <w:r w:rsidRPr="003B3B59">
        <w:rPr>
          <w:rFonts w:ascii="Arial" w:eastAsia="Times New Roman" w:hAnsi="Arial" w:cs="Arial"/>
          <w:b/>
          <w:bCs/>
          <w:sz w:val="32"/>
          <w:szCs w:val="24"/>
        </w:rPr>
        <w:t xml:space="preserve"> </w:t>
      </w:r>
    </w:p>
    <w:p w:rsidR="003B3B59" w:rsidRPr="003B3B59" w:rsidRDefault="003B3B59" w:rsidP="001C43B5">
      <w:pPr>
        <w:suppressAutoHyphens/>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I, the undersigned, hereby approve this clinical study protocol: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Times New Roman"/>
          <w:b/>
          <w:color w:val="000000"/>
          <w:sz w:val="24"/>
          <w:szCs w:val="24"/>
        </w:rPr>
      </w:pPr>
      <w:r w:rsidRPr="003B3B59">
        <w:rPr>
          <w:rFonts w:ascii="Arial" w:eastAsia="Times New Roman" w:hAnsi="Arial" w:cs="Times New Roman"/>
          <w:b/>
          <w:color w:val="000000"/>
          <w:sz w:val="24"/>
          <w:szCs w:val="24"/>
        </w:rPr>
        <w:t xml:space="preserve">Authorised by Chief Investigator: </w:t>
      </w: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p w:rsidR="003B3B59" w:rsidRPr="003B3B59" w:rsidRDefault="003B3B59" w:rsidP="001C43B5">
      <w:pPr>
        <w:suppressAutoHyphens/>
        <w:spacing w:after="0" w:line="360" w:lineRule="auto"/>
        <w:jc w:val="both"/>
        <w:rPr>
          <w:rFonts w:ascii="Arial" w:eastAsia="Times New Roman" w:hAnsi="Arial" w:cs="Times New Roman"/>
          <w:color w:val="000000"/>
          <w:sz w:val="24"/>
          <w:szCs w:val="24"/>
        </w:rPr>
      </w:pPr>
    </w:p>
    <w:tbl>
      <w:tblPr>
        <w:tblW w:w="9286" w:type="dxa"/>
        <w:tblLayout w:type="fixed"/>
        <w:tblLook w:val="0000" w:firstRow="0" w:lastRow="0" w:firstColumn="0" w:lastColumn="0" w:noHBand="0" w:noVBand="0"/>
      </w:tblPr>
      <w:tblGrid>
        <w:gridCol w:w="6768"/>
        <w:gridCol w:w="2518"/>
      </w:tblGrid>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4"/>
              </w:rPr>
            </w:pPr>
            <w:r w:rsidRPr="003B3B59">
              <w:rPr>
                <w:rFonts w:ascii="Calibri" w:eastAsia="Times New Roman" w:hAnsi="Calibri" w:cs="Times New Roman"/>
                <w:b/>
                <w:sz w:val="24"/>
                <w:szCs w:val="24"/>
              </w:rPr>
              <w:t xml:space="preserve">Signature: </w:t>
            </w:r>
            <w:r w:rsidRPr="003B3B59">
              <w:rPr>
                <w:rFonts w:ascii="Calibri" w:eastAsia="Times New Roman" w:hAnsi="Calibri" w:cs="Times New Roman"/>
                <w:sz w:val="24"/>
                <w:szCs w:val="24"/>
              </w:rPr>
              <w:t>___________________________________</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4"/>
              </w:rPr>
            </w:pPr>
            <w:r w:rsidRPr="003B3B59">
              <w:rPr>
                <w:rFonts w:ascii="Calibri" w:eastAsia="Times New Roman" w:hAnsi="Calibri" w:cs="Times New Roman"/>
                <w:b/>
                <w:sz w:val="24"/>
                <w:szCs w:val="24"/>
              </w:rPr>
              <w:t>Date:</w:t>
            </w:r>
            <w:r w:rsidRPr="003B3B59">
              <w:rPr>
                <w:rFonts w:ascii="Calibri" w:eastAsia="Times New Roman" w:hAnsi="Calibri" w:cs="Times New Roman"/>
                <w:sz w:val="24"/>
                <w:szCs w:val="24"/>
              </w:rPr>
              <w:t xml:space="preserve"> _____________</w:t>
            </w: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4"/>
              </w:rPr>
            </w:pPr>
          </w:p>
          <w:p w:rsidR="003B3B59" w:rsidRPr="003B3B59" w:rsidRDefault="003B3B59" w:rsidP="001C43B5">
            <w:pPr>
              <w:suppressAutoHyphens/>
              <w:spacing w:after="0" w:line="360" w:lineRule="auto"/>
              <w:jc w:val="both"/>
              <w:rPr>
                <w:rFonts w:ascii="Calibri" w:eastAsia="Times New Roman" w:hAnsi="Calibri" w:cs="Times New Roman"/>
                <w:sz w:val="24"/>
                <w:szCs w:val="24"/>
              </w:rPr>
            </w:pPr>
            <w:r w:rsidRPr="003B3B59">
              <w:rPr>
                <w:rFonts w:ascii="Calibri" w:eastAsia="Times New Roman" w:hAnsi="Calibri" w:cs="Times New Roman"/>
                <w:sz w:val="24"/>
                <w:szCs w:val="24"/>
              </w:rPr>
              <w:t xml:space="preserve">Carlo Palmieri </w:t>
            </w:r>
          </w:p>
          <w:p w:rsidR="003B3B59" w:rsidRPr="003B3B59" w:rsidRDefault="003B3B59" w:rsidP="001C43B5">
            <w:pPr>
              <w:suppressAutoHyphens/>
              <w:spacing w:after="0" w:line="360" w:lineRule="auto"/>
              <w:jc w:val="both"/>
              <w:rPr>
                <w:rFonts w:ascii="Calibri" w:eastAsia="Times New Roman" w:hAnsi="Calibri" w:cs="Times New Roman"/>
                <w:b/>
                <w:sz w:val="24"/>
                <w:szCs w:val="24"/>
              </w:rPr>
            </w:pPr>
            <w:r w:rsidRPr="003B3B59">
              <w:rPr>
                <w:rFonts w:ascii="Calibri" w:eastAsia="Times New Roman" w:hAnsi="Calibri" w:cs="Times New Roman"/>
                <w:b/>
                <w:sz w:val="24"/>
                <w:szCs w:val="24"/>
              </w:rPr>
              <w:t>Chief Investigator</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4"/>
              </w:rPr>
            </w:pPr>
          </w:p>
        </w:tc>
      </w:tr>
    </w:tbl>
    <w:p w:rsidR="003B3B59" w:rsidRPr="003B3B59" w:rsidRDefault="003B3B59" w:rsidP="001C43B5">
      <w:pPr>
        <w:suppressAutoHyphens/>
        <w:spacing w:after="0" w:line="360" w:lineRule="auto"/>
        <w:jc w:val="both"/>
        <w:rPr>
          <w:rFonts w:ascii="Calibri" w:eastAsia="Times New Roman" w:hAnsi="Calibri" w:cs="Times New Roman"/>
          <w:sz w:val="24"/>
          <w:szCs w:val="24"/>
        </w:rPr>
      </w:pPr>
    </w:p>
    <w:p w:rsidR="003B3B59" w:rsidRPr="003B3B59" w:rsidRDefault="003B3B59" w:rsidP="001C43B5">
      <w:pPr>
        <w:spacing w:after="0" w:line="360" w:lineRule="auto"/>
        <w:rPr>
          <w:rFonts w:ascii="Calibri" w:eastAsia="Times New Roman" w:hAnsi="Calibri" w:cs="Times New Roman"/>
          <w:szCs w:val="24"/>
        </w:rPr>
      </w:pPr>
      <w:r w:rsidRPr="003B3B59">
        <w:rPr>
          <w:rFonts w:ascii="Calibri" w:eastAsia="Times New Roman" w:hAnsi="Calibri" w:cs="Times New Roman"/>
          <w:szCs w:val="24"/>
        </w:rPr>
        <w:br w:type="page"/>
      </w:r>
    </w:p>
    <w:p w:rsidR="003B3B59" w:rsidRPr="003B3B59" w:rsidRDefault="003B3B59" w:rsidP="001C43B5">
      <w:pPr>
        <w:suppressAutoHyphens/>
        <w:spacing w:after="0" w:line="360" w:lineRule="auto"/>
        <w:jc w:val="both"/>
        <w:rPr>
          <w:rFonts w:ascii="Calibri" w:eastAsia="Times New Roman" w:hAnsi="Calibri" w:cs="Times New Roman"/>
          <w:szCs w:val="24"/>
        </w:rPr>
      </w:pPr>
    </w:p>
    <w:p w:rsidR="003B3B59" w:rsidRPr="003B3B59" w:rsidRDefault="003B3B59" w:rsidP="001C43B5">
      <w:pPr>
        <w:suppressAutoHyphens/>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I, the undersigned, hereby approve this clinical study protocol: </w:t>
      </w:r>
    </w:p>
    <w:p w:rsidR="003B3B59" w:rsidRPr="003B3B59" w:rsidRDefault="003B3B59" w:rsidP="001C43B5">
      <w:pPr>
        <w:spacing w:after="0" w:line="360" w:lineRule="auto"/>
        <w:jc w:val="both"/>
        <w:rPr>
          <w:rFonts w:ascii="Arial" w:eastAsia="Times New Roman" w:hAnsi="Arial" w:cs="Times New Roman"/>
          <w:b/>
          <w:color w:val="000000"/>
          <w:sz w:val="24"/>
          <w:szCs w:val="28"/>
        </w:rPr>
      </w:pPr>
    </w:p>
    <w:p w:rsidR="003B3B59" w:rsidRPr="003B3B59" w:rsidRDefault="003B3B59" w:rsidP="001C43B5">
      <w:pPr>
        <w:spacing w:after="0" w:line="360" w:lineRule="auto"/>
        <w:jc w:val="both"/>
        <w:rPr>
          <w:rFonts w:ascii="Arial" w:eastAsia="Times New Roman" w:hAnsi="Arial" w:cs="Times New Roman"/>
          <w:b/>
          <w:color w:val="000000"/>
          <w:sz w:val="24"/>
          <w:szCs w:val="28"/>
        </w:rPr>
      </w:pPr>
    </w:p>
    <w:p w:rsidR="003B3B59" w:rsidRPr="003B3B59" w:rsidRDefault="003B3B59" w:rsidP="001C43B5">
      <w:pPr>
        <w:spacing w:after="0" w:line="360" w:lineRule="auto"/>
        <w:jc w:val="both"/>
        <w:rPr>
          <w:rFonts w:ascii="Arial" w:eastAsia="Times New Roman" w:hAnsi="Arial" w:cs="Times New Roman"/>
          <w:b/>
          <w:color w:val="0000FF"/>
          <w:sz w:val="24"/>
          <w:szCs w:val="28"/>
        </w:rPr>
      </w:pPr>
      <w:r w:rsidRPr="003B3B59">
        <w:rPr>
          <w:rFonts w:ascii="Arial" w:eastAsia="Times New Roman" w:hAnsi="Arial" w:cs="Times New Roman"/>
          <w:b/>
          <w:color w:val="000000"/>
          <w:sz w:val="24"/>
          <w:szCs w:val="28"/>
        </w:rPr>
        <w:t>Authorised on behalf of Sponsor</w:t>
      </w:r>
      <w:r w:rsidRPr="003B3B59">
        <w:rPr>
          <w:rFonts w:ascii="Arial" w:eastAsia="Times New Roman" w:hAnsi="Arial" w:cs="Times New Roman"/>
          <w:b/>
          <w:sz w:val="24"/>
          <w:szCs w:val="28"/>
        </w:rPr>
        <w:t>:</w:t>
      </w: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tbl>
      <w:tblPr>
        <w:tblW w:w="9286" w:type="dxa"/>
        <w:tblLayout w:type="fixed"/>
        <w:tblLook w:val="0000" w:firstRow="0" w:lastRow="0" w:firstColumn="0" w:lastColumn="0" w:noHBand="0" w:noVBand="0"/>
      </w:tblPr>
      <w:tblGrid>
        <w:gridCol w:w="6768"/>
        <w:gridCol w:w="2518"/>
      </w:tblGrid>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b/>
                <w:sz w:val="24"/>
                <w:szCs w:val="28"/>
              </w:rPr>
              <w:t xml:space="preserve">Signature: </w:t>
            </w:r>
            <w:r w:rsidRPr="003B3B59">
              <w:rPr>
                <w:rFonts w:ascii="Calibri" w:eastAsia="Times New Roman" w:hAnsi="Calibri" w:cs="Times New Roman"/>
                <w:sz w:val="24"/>
                <w:szCs w:val="28"/>
              </w:rPr>
              <w:t>___________________________________</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b/>
                <w:sz w:val="24"/>
                <w:szCs w:val="28"/>
              </w:rPr>
              <w:t>Date:</w:t>
            </w:r>
            <w:r w:rsidRPr="003B3B59">
              <w:rPr>
                <w:rFonts w:ascii="Calibri" w:eastAsia="Times New Roman" w:hAnsi="Calibri" w:cs="Times New Roman"/>
                <w:sz w:val="24"/>
                <w:szCs w:val="28"/>
              </w:rPr>
              <w:t xml:space="preserve"> _____________</w:t>
            </w: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sz w:val="24"/>
                <w:szCs w:val="28"/>
              </w:rPr>
              <w:t xml:space="preserve">Alex Astor </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sz w:val="24"/>
                <w:szCs w:val="28"/>
              </w:rPr>
              <w:t>Head of Research Support Office</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r w:rsidRPr="003B3B59">
              <w:rPr>
                <w:rFonts w:ascii="Calibri" w:eastAsia="Times New Roman" w:hAnsi="Calibri" w:cs="Times New Roman"/>
                <w:b/>
                <w:sz w:val="24"/>
                <w:szCs w:val="28"/>
              </w:rPr>
              <w:t xml:space="preserve">University of Liverpool </w:t>
            </w:r>
          </w:p>
          <w:p w:rsidR="003B3B59" w:rsidRPr="003B3B59" w:rsidRDefault="003B3B59" w:rsidP="001C43B5">
            <w:pPr>
              <w:suppressAutoHyphens/>
              <w:spacing w:after="0" w:line="360" w:lineRule="auto"/>
              <w:jc w:val="both"/>
              <w:rPr>
                <w:rFonts w:ascii="Calibri" w:eastAsia="Times New Roman" w:hAnsi="Calibri" w:cs="Times New Roman"/>
                <w:b/>
                <w:sz w:val="24"/>
                <w:szCs w:val="28"/>
              </w:rPr>
            </w:pPr>
            <w:r w:rsidRPr="003B3B59">
              <w:rPr>
                <w:rFonts w:ascii="Calibri" w:eastAsia="Times New Roman" w:hAnsi="Calibri" w:cs="Times New Roman"/>
                <w:b/>
                <w:sz w:val="24"/>
                <w:szCs w:val="28"/>
              </w:rPr>
              <w:t>Sponsor</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p>
        </w:tc>
      </w:tr>
    </w:tbl>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pacing w:after="0" w:line="360" w:lineRule="auto"/>
        <w:rPr>
          <w:rFonts w:ascii="Arial" w:eastAsia="Times New Roman" w:hAnsi="Arial" w:cs="Times New Roman"/>
          <w:b/>
          <w:color w:val="000000"/>
          <w:sz w:val="24"/>
          <w:szCs w:val="24"/>
        </w:rPr>
      </w:pPr>
      <w:r w:rsidRPr="003B3B59">
        <w:rPr>
          <w:rFonts w:ascii="Arial" w:eastAsia="Times New Roman" w:hAnsi="Arial" w:cs="Times New Roman"/>
          <w:b/>
          <w:color w:val="000000"/>
          <w:sz w:val="24"/>
          <w:szCs w:val="24"/>
        </w:rPr>
        <w:br w:type="page"/>
      </w:r>
    </w:p>
    <w:p w:rsidR="003B3B59" w:rsidRPr="003B3B59" w:rsidRDefault="003B3B59" w:rsidP="001C43B5">
      <w:pPr>
        <w:suppressAutoHyphens/>
        <w:spacing w:after="0" w:line="360" w:lineRule="auto"/>
        <w:jc w:val="both"/>
        <w:rPr>
          <w:rFonts w:ascii="Arial" w:eastAsia="Times New Roman" w:hAnsi="Arial" w:cs="Arial"/>
          <w:sz w:val="24"/>
        </w:rPr>
      </w:pPr>
      <w:r w:rsidRPr="003B3B59">
        <w:rPr>
          <w:rFonts w:ascii="Arial" w:eastAsia="Times New Roman" w:hAnsi="Arial" w:cs="Arial"/>
          <w:sz w:val="24"/>
        </w:rPr>
        <w:lastRenderedPageBreak/>
        <w:t xml:space="preserve">I, the undersigned, hereby approve this clinical study protocol: </w:t>
      </w:r>
    </w:p>
    <w:p w:rsidR="003B3B59" w:rsidRPr="003B3B59" w:rsidRDefault="003B3B59" w:rsidP="001C43B5">
      <w:pPr>
        <w:suppressAutoHyphens/>
        <w:spacing w:after="0" w:line="360" w:lineRule="auto"/>
        <w:jc w:val="both"/>
        <w:rPr>
          <w:rFonts w:ascii="Arial" w:eastAsia="Times New Roman" w:hAnsi="Arial" w:cs="Times New Roman"/>
          <w:b/>
          <w:color w:val="000000"/>
          <w:sz w:val="24"/>
          <w:szCs w:val="28"/>
        </w:rPr>
      </w:pPr>
    </w:p>
    <w:p w:rsidR="003B3B59" w:rsidRPr="003B3B59" w:rsidRDefault="003B3B59" w:rsidP="001C43B5">
      <w:pPr>
        <w:suppressAutoHyphens/>
        <w:spacing w:after="0" w:line="360" w:lineRule="auto"/>
        <w:jc w:val="both"/>
        <w:rPr>
          <w:rFonts w:ascii="Arial" w:eastAsia="Times New Roman" w:hAnsi="Arial" w:cs="Times New Roman"/>
          <w:b/>
          <w:color w:val="000000"/>
          <w:sz w:val="24"/>
          <w:szCs w:val="28"/>
        </w:rPr>
      </w:pPr>
    </w:p>
    <w:p w:rsidR="003B3B59" w:rsidRPr="003B3B59" w:rsidRDefault="003B3B59" w:rsidP="001C43B5">
      <w:pPr>
        <w:suppressAutoHyphens/>
        <w:spacing w:after="0" w:line="360" w:lineRule="auto"/>
        <w:jc w:val="both"/>
        <w:rPr>
          <w:rFonts w:ascii="Arial" w:eastAsia="Times New Roman" w:hAnsi="Arial" w:cs="Times New Roman"/>
          <w:b/>
          <w:color w:val="000000"/>
          <w:sz w:val="24"/>
          <w:szCs w:val="28"/>
        </w:rPr>
      </w:pPr>
      <w:r w:rsidRPr="003B3B59">
        <w:rPr>
          <w:rFonts w:ascii="Arial" w:eastAsia="Times New Roman" w:hAnsi="Arial" w:cs="Times New Roman"/>
          <w:b/>
          <w:color w:val="000000"/>
          <w:sz w:val="24"/>
          <w:szCs w:val="28"/>
        </w:rPr>
        <w:t>Authorised on behalf of the Lead Statistician:</w:t>
      </w: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tbl>
      <w:tblPr>
        <w:tblW w:w="0" w:type="auto"/>
        <w:tblLayout w:type="fixed"/>
        <w:tblLook w:val="0000" w:firstRow="0" w:lastRow="0" w:firstColumn="0" w:lastColumn="0" w:noHBand="0" w:noVBand="0"/>
      </w:tblPr>
      <w:tblGrid>
        <w:gridCol w:w="6768"/>
        <w:gridCol w:w="2518"/>
      </w:tblGrid>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b/>
                <w:sz w:val="24"/>
                <w:szCs w:val="28"/>
              </w:rPr>
              <w:t xml:space="preserve">Signature: </w:t>
            </w:r>
            <w:r w:rsidRPr="003B3B59">
              <w:rPr>
                <w:rFonts w:ascii="Calibri" w:eastAsia="Times New Roman" w:hAnsi="Calibri" w:cs="Times New Roman"/>
                <w:sz w:val="24"/>
                <w:szCs w:val="28"/>
              </w:rPr>
              <w:t>___________________________________</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b/>
                <w:sz w:val="24"/>
                <w:szCs w:val="28"/>
              </w:rPr>
              <w:t>Date:</w:t>
            </w:r>
            <w:r w:rsidRPr="003B3B59">
              <w:rPr>
                <w:rFonts w:ascii="Calibri" w:eastAsia="Times New Roman" w:hAnsi="Calibri" w:cs="Times New Roman"/>
                <w:sz w:val="24"/>
                <w:szCs w:val="28"/>
              </w:rPr>
              <w:t xml:space="preserve"> _____________</w:t>
            </w: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sz w:val="24"/>
                <w:szCs w:val="28"/>
              </w:rPr>
              <w:t>Richard Jackson</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r w:rsidRPr="003B3B59">
              <w:rPr>
                <w:rFonts w:ascii="Calibri" w:eastAsia="Times New Roman" w:hAnsi="Calibri" w:cs="Times New Roman"/>
                <w:b/>
                <w:sz w:val="24"/>
                <w:szCs w:val="28"/>
              </w:rPr>
              <w:t>Trial Statistician</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r w:rsidRPr="003B3B59">
              <w:rPr>
                <w:rFonts w:ascii="Calibri" w:eastAsia="Times New Roman" w:hAnsi="Calibri" w:cs="Times New Roman"/>
                <w:b/>
                <w:sz w:val="24"/>
                <w:szCs w:val="28"/>
              </w:rPr>
              <w:t>CRUK Liverpool Clinical Trials Unit</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p>
        </w:tc>
      </w:tr>
    </w:tbl>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pacing w:after="0" w:line="360" w:lineRule="auto"/>
        <w:rPr>
          <w:rFonts w:ascii="Arial" w:eastAsia="Times New Roman" w:hAnsi="Arial" w:cs="Times New Roman"/>
          <w:b/>
          <w:color w:val="000000"/>
          <w:sz w:val="24"/>
          <w:szCs w:val="28"/>
        </w:rPr>
      </w:pPr>
      <w:r w:rsidRPr="003B3B59">
        <w:rPr>
          <w:rFonts w:ascii="Arial" w:eastAsia="Times New Roman" w:hAnsi="Arial" w:cs="Times New Roman"/>
          <w:b/>
          <w:color w:val="000000"/>
          <w:sz w:val="24"/>
          <w:szCs w:val="28"/>
        </w:rPr>
        <w:br w:type="page"/>
      </w:r>
    </w:p>
    <w:p w:rsidR="003B3B59" w:rsidRPr="003B3B59" w:rsidRDefault="003B3B59" w:rsidP="001C43B5">
      <w:pPr>
        <w:suppressAutoHyphens/>
        <w:spacing w:after="0" w:line="360" w:lineRule="auto"/>
        <w:jc w:val="both"/>
        <w:rPr>
          <w:rFonts w:ascii="Arial" w:eastAsia="Times New Roman" w:hAnsi="Arial" w:cs="Times New Roman"/>
          <w:b/>
          <w:color w:val="000000"/>
          <w:sz w:val="24"/>
          <w:szCs w:val="28"/>
        </w:rPr>
      </w:pPr>
      <w:r w:rsidRPr="003B3B59">
        <w:rPr>
          <w:rFonts w:ascii="Arial" w:eastAsia="Times New Roman" w:hAnsi="Arial" w:cs="Times New Roman"/>
          <w:b/>
          <w:color w:val="000000"/>
          <w:sz w:val="24"/>
          <w:szCs w:val="28"/>
        </w:rPr>
        <w:lastRenderedPageBreak/>
        <w:t>Authorised on behalf of Director of LCTC</w:t>
      </w: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I, the undersigned, hereby approve this clinical study protocol: </w:t>
      </w: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uppressAutoHyphens/>
        <w:spacing w:after="0" w:line="360" w:lineRule="auto"/>
        <w:jc w:val="both"/>
        <w:rPr>
          <w:rFonts w:ascii="Calibri" w:eastAsia="Times New Roman" w:hAnsi="Calibri" w:cs="Times New Roman"/>
          <w:sz w:val="24"/>
          <w:szCs w:val="28"/>
        </w:rPr>
      </w:pPr>
    </w:p>
    <w:tbl>
      <w:tblPr>
        <w:tblW w:w="9286" w:type="dxa"/>
        <w:tblLayout w:type="fixed"/>
        <w:tblLook w:val="0000" w:firstRow="0" w:lastRow="0" w:firstColumn="0" w:lastColumn="0" w:noHBand="0" w:noVBand="0"/>
      </w:tblPr>
      <w:tblGrid>
        <w:gridCol w:w="6768"/>
        <w:gridCol w:w="2518"/>
      </w:tblGrid>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b/>
                <w:sz w:val="24"/>
                <w:szCs w:val="28"/>
              </w:rPr>
              <w:t xml:space="preserve">Signature: </w:t>
            </w:r>
            <w:r w:rsidRPr="003B3B59">
              <w:rPr>
                <w:rFonts w:ascii="Calibri" w:eastAsia="Times New Roman" w:hAnsi="Calibri" w:cs="Times New Roman"/>
                <w:sz w:val="24"/>
                <w:szCs w:val="28"/>
              </w:rPr>
              <w:t>___________________________________</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r w:rsidRPr="003B3B59">
              <w:rPr>
                <w:rFonts w:ascii="Calibri" w:eastAsia="Times New Roman" w:hAnsi="Calibri" w:cs="Times New Roman"/>
                <w:b/>
                <w:sz w:val="24"/>
                <w:szCs w:val="28"/>
              </w:rPr>
              <w:t>Date:</w:t>
            </w:r>
            <w:r w:rsidRPr="003B3B59">
              <w:rPr>
                <w:rFonts w:ascii="Calibri" w:eastAsia="Times New Roman" w:hAnsi="Calibri" w:cs="Times New Roman"/>
                <w:sz w:val="24"/>
                <w:szCs w:val="28"/>
              </w:rPr>
              <w:t xml:space="preserve"> _____________</w:t>
            </w: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p w:rsidR="003B3B59" w:rsidRPr="003B3B59" w:rsidRDefault="003B3B59" w:rsidP="001C43B5">
            <w:pPr>
              <w:spacing w:after="0" w:line="360" w:lineRule="auto"/>
              <w:jc w:val="both"/>
              <w:rPr>
                <w:rFonts w:ascii="Calibri" w:eastAsia="Times New Roman" w:hAnsi="Calibri" w:cs="Times New Roman"/>
                <w:sz w:val="24"/>
                <w:szCs w:val="28"/>
              </w:rPr>
            </w:pPr>
            <w:r w:rsidRPr="003B3B59">
              <w:rPr>
                <w:rFonts w:ascii="Calibri" w:eastAsia="Times New Roman" w:hAnsi="Calibri" w:cs="Times New Roman"/>
                <w:sz w:val="24"/>
                <w:szCs w:val="28"/>
              </w:rPr>
              <w:t xml:space="preserve">Professor Carrol Gamble </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sz w:val="24"/>
                <w:szCs w:val="28"/>
              </w:rPr>
            </w:pPr>
          </w:p>
        </w:tc>
      </w:tr>
      <w:tr w:rsidR="003B3B59" w:rsidRPr="003B3B59" w:rsidTr="003B3B59">
        <w:tc>
          <w:tcPr>
            <w:tcW w:w="6768" w:type="dxa"/>
          </w:tcPr>
          <w:p w:rsidR="003B3B59" w:rsidRPr="003B3B59" w:rsidRDefault="003B3B59" w:rsidP="001C43B5">
            <w:pPr>
              <w:spacing w:after="0" w:line="360" w:lineRule="auto"/>
              <w:jc w:val="both"/>
              <w:rPr>
                <w:rFonts w:ascii="Calibri" w:eastAsia="Times New Roman" w:hAnsi="Calibri" w:cs="Times New Roman"/>
                <w:b/>
                <w:sz w:val="24"/>
                <w:szCs w:val="28"/>
              </w:rPr>
            </w:pPr>
            <w:r w:rsidRPr="003B3B59">
              <w:rPr>
                <w:rFonts w:ascii="Calibri" w:eastAsia="Times New Roman" w:hAnsi="Calibri" w:cs="Times New Roman"/>
                <w:b/>
                <w:sz w:val="24"/>
                <w:szCs w:val="28"/>
              </w:rPr>
              <w:t>Director of Liverpool Clinical Trials Centre (Fixed-Term)</w:t>
            </w: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p>
        </w:tc>
      </w:tr>
      <w:tr w:rsidR="003B3B59" w:rsidRPr="003B3B59" w:rsidTr="003B3B59">
        <w:tc>
          <w:tcPr>
            <w:tcW w:w="676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p>
        </w:tc>
        <w:tc>
          <w:tcPr>
            <w:tcW w:w="2518" w:type="dxa"/>
          </w:tcPr>
          <w:p w:rsidR="003B3B59" w:rsidRPr="003B3B59" w:rsidRDefault="003B3B59" w:rsidP="001C43B5">
            <w:pPr>
              <w:suppressAutoHyphens/>
              <w:spacing w:after="0" w:line="360" w:lineRule="auto"/>
              <w:jc w:val="both"/>
              <w:rPr>
                <w:rFonts w:ascii="Calibri" w:eastAsia="Times New Roman" w:hAnsi="Calibri" w:cs="Times New Roman"/>
                <w:b/>
                <w:sz w:val="24"/>
                <w:szCs w:val="28"/>
              </w:rPr>
            </w:pPr>
          </w:p>
        </w:tc>
      </w:tr>
    </w:tbl>
    <w:p w:rsidR="003B3B59" w:rsidRPr="003B3B59" w:rsidRDefault="003B3B59" w:rsidP="001C43B5">
      <w:pPr>
        <w:spacing w:after="0" w:line="360" w:lineRule="auto"/>
        <w:rPr>
          <w:rFonts w:ascii="Arial" w:eastAsia="Times New Roman" w:hAnsi="Arial" w:cs="Times New Roman"/>
          <w:color w:val="000000"/>
          <w:sz w:val="28"/>
          <w:szCs w:val="28"/>
        </w:rPr>
      </w:pPr>
    </w:p>
    <w:p w:rsidR="003B3B59" w:rsidRPr="003B3B59" w:rsidRDefault="003B3B59" w:rsidP="001C43B5">
      <w:pPr>
        <w:suppressAutoHyphens/>
        <w:spacing w:after="0" w:line="360" w:lineRule="auto"/>
        <w:jc w:val="both"/>
        <w:rPr>
          <w:rFonts w:ascii="Arial" w:eastAsia="Times New Roman" w:hAnsi="Arial" w:cs="Arial"/>
          <w:sz w:val="24"/>
        </w:rPr>
      </w:pPr>
    </w:p>
    <w:p w:rsidR="003B3B59" w:rsidRPr="003B3B59" w:rsidRDefault="003B3B59" w:rsidP="001C43B5">
      <w:pPr>
        <w:spacing w:after="0" w:line="360" w:lineRule="auto"/>
        <w:rPr>
          <w:rFonts w:ascii="Arial" w:eastAsia="Times New Roman" w:hAnsi="Arial" w:cs="Arial"/>
          <w:sz w:val="24"/>
        </w:rPr>
      </w:pPr>
      <w:r w:rsidRPr="003B3B59">
        <w:rPr>
          <w:rFonts w:ascii="Arial" w:eastAsia="Times New Roman" w:hAnsi="Arial" w:cs="Arial"/>
          <w:sz w:val="24"/>
        </w:rPr>
        <w:br w:type="page"/>
      </w:r>
    </w:p>
    <w:p w:rsidR="003B3B59" w:rsidRPr="003B3B59" w:rsidRDefault="003B3B59" w:rsidP="001C43B5">
      <w:pPr>
        <w:keepNext/>
        <w:pageBreakBefore/>
        <w:spacing w:after="360" w:line="360" w:lineRule="auto"/>
        <w:ind w:left="432" w:hanging="432"/>
        <w:outlineLvl w:val="0"/>
        <w:rPr>
          <w:rFonts w:ascii="Arial" w:eastAsia="Times New Roman" w:hAnsi="Arial" w:cs="Arial"/>
          <w:b/>
          <w:bCs/>
          <w:sz w:val="32"/>
          <w:szCs w:val="24"/>
        </w:rPr>
      </w:pPr>
      <w:bookmarkStart w:id="10" w:name="_Toc38877231"/>
      <w:bookmarkStart w:id="11" w:name="_Toc42020740"/>
      <w:bookmarkStart w:id="12" w:name="_Toc42077777"/>
      <w:bookmarkStart w:id="13" w:name="_Toc44574192"/>
      <w:r w:rsidRPr="003B3B59">
        <w:rPr>
          <w:rFonts w:ascii="Arial" w:eastAsia="Times New Roman" w:hAnsi="Arial" w:cs="Arial"/>
          <w:b/>
          <w:bCs/>
          <w:sz w:val="32"/>
          <w:szCs w:val="24"/>
        </w:rPr>
        <w:lastRenderedPageBreak/>
        <w:t>General Information</w:t>
      </w:r>
      <w:bookmarkEnd w:id="10"/>
      <w:bookmarkEnd w:id="11"/>
      <w:bookmarkEnd w:id="12"/>
      <w:bookmarkEnd w:id="13"/>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This section describes the PRIMROSE Audit. The audit is to be carried out by clinical staff members and which does not involve experimental treatment or placebo treatment. </w:t>
      </w:r>
    </w:p>
    <w:p w:rsidR="003B3B59" w:rsidRPr="003B3B59" w:rsidRDefault="003B3B59" w:rsidP="001C43B5">
      <w:pPr>
        <w:spacing w:after="0" w:line="360" w:lineRule="auto"/>
        <w:jc w:val="both"/>
        <w:rPr>
          <w:rFonts w:ascii="Arial" w:eastAsia="Times New Roman" w:hAnsi="Arial" w:cs="Arial"/>
          <w:sz w:val="21"/>
          <w:szCs w:val="21"/>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This protocol defines the participant characteristics required for audit study entry. There is no schedule of participant recruitment, treatment and follow-up aspect to this audit. This is a single-arm prospective observational audit study involving routine data. Participant recruitment will be undertaken in compliance with this document and applicable regulatory and governance requirements. Waivers to authorise non-compliance are not permitted.</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The protocol should not be used as an aide-memoir or guide for the treatment of other patients. Every care was taken in its drafting, but corrections or amendments may be necessary. Any amendments will be circulated to the investigators participating in the audit, but sites entering patients for the first time are advised to contact the coordinating centre Liverpool Clinical Trial Centre to confirm they have the most up to date version. Clinical problems relating to this audit should be referred to the relevant Chief Investigator, Professor Carlo Palmieri, via the CTU.</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The template content structure is consistent with the SPIRIT (Standard Protocol Item: Recommendations for Interventional Trials 2013) and has regard for the Health Research Authority guidance. Regulatory and ethical compliance information is located in section.</w:t>
      </w:r>
    </w:p>
    <w:p w:rsidR="003B3B59" w:rsidRPr="003B3B59" w:rsidRDefault="003B3B59" w:rsidP="001C43B5">
      <w:pPr>
        <w:spacing w:after="0" w:line="360" w:lineRule="auto"/>
        <w:jc w:val="both"/>
        <w:rPr>
          <w:rFonts w:ascii="Arial" w:eastAsia="Times New Roman" w:hAnsi="Arial" w:cs="Arial"/>
          <w:b/>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Arial"/>
          <w:sz w:val="24"/>
          <w:szCs w:val="24"/>
        </w:rPr>
        <w:t xml:space="preserve">The Liverpool Clinical Trials Centre </w:t>
      </w:r>
      <w:r w:rsidRPr="003B3B59">
        <w:rPr>
          <w:rFonts w:ascii="Arial" w:eastAsia="Times New Roman" w:hAnsi="Arial" w:cs="Times New Roman"/>
          <w:sz w:val="24"/>
          <w:szCs w:val="24"/>
        </w:rPr>
        <w:t xml:space="preserve">has achieved full registration by the UK Clinical Research Collaboration (www.ukcrc.org) as their standards and systems were assessed by an international review panel as reaching the highest quality. The </w:t>
      </w:r>
      <w:r w:rsidRPr="003B3B59">
        <w:rPr>
          <w:rFonts w:ascii="Arial" w:eastAsia="Times New Roman" w:hAnsi="Arial" w:cs="Arial"/>
          <w:sz w:val="24"/>
          <w:szCs w:val="24"/>
        </w:rPr>
        <w:t>Liverpool Clinical Trials Centre</w:t>
      </w:r>
      <w:r w:rsidRPr="003B3B59">
        <w:rPr>
          <w:rFonts w:ascii="Arial" w:eastAsia="Times New Roman" w:hAnsi="Arial" w:cs="Times New Roman"/>
          <w:color w:val="0000FF"/>
          <w:sz w:val="24"/>
          <w:szCs w:val="24"/>
        </w:rPr>
        <w:t xml:space="preserve"> </w:t>
      </w:r>
      <w:r w:rsidRPr="003B3B59">
        <w:rPr>
          <w:rFonts w:ascii="Arial" w:eastAsia="Times New Roman" w:hAnsi="Arial" w:cs="Times New Roman"/>
          <w:sz w:val="24"/>
          <w:szCs w:val="24"/>
        </w:rPr>
        <w:t xml:space="preserve">has a diverse trial portfolio underpinned by methodological rigour, a GCP compliant data management system, and quality management system. </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rPr>
          <w:rFonts w:ascii="Arial" w:eastAsia="Times New Roman" w:hAnsi="Arial" w:cs="Arial"/>
          <w:sz w:val="24"/>
          <w:szCs w:val="24"/>
        </w:rPr>
      </w:pPr>
      <w:r w:rsidRPr="003B3B59">
        <w:rPr>
          <w:rFonts w:ascii="Arial" w:eastAsia="Times New Roman" w:hAnsi="Arial" w:cs="Arial"/>
          <w:sz w:val="24"/>
          <w:szCs w:val="24"/>
        </w:rPr>
        <w:br w:type="page"/>
      </w:r>
    </w:p>
    <w:tbl>
      <w:tblPr>
        <w:tblpPr w:leftFromText="180" w:rightFromText="180" w:vertAnchor="text" w:horzAnchor="margin" w:tblpY="36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3489"/>
        <w:gridCol w:w="2855"/>
        <w:gridCol w:w="634"/>
      </w:tblGrid>
      <w:tr w:rsidR="003B3B59" w:rsidRPr="003B3B59" w:rsidTr="003B3B59">
        <w:trPr>
          <w:gridAfter w:val="1"/>
          <w:wAfter w:w="303" w:type="pct"/>
          <w:cantSplit/>
          <w:trHeight w:val="492"/>
          <w:tblHeader/>
        </w:trPr>
        <w:tc>
          <w:tcPr>
            <w:tcW w:w="4697" w:type="pct"/>
            <w:gridSpan w:val="3"/>
            <w:tcBorders>
              <w:top w:val="nil"/>
              <w:left w:val="nil"/>
              <w:bottom w:val="single" w:sz="4" w:space="0" w:color="auto"/>
              <w:right w:val="nil"/>
            </w:tcBorders>
          </w:tcPr>
          <w:p w:rsidR="003B3B59" w:rsidRPr="003B3B59" w:rsidRDefault="003B3B59" w:rsidP="001C43B5">
            <w:pPr>
              <w:keepNext/>
              <w:pageBreakBefore/>
              <w:spacing w:after="0" w:line="360" w:lineRule="auto"/>
              <w:ind w:left="432" w:hanging="432"/>
              <w:outlineLvl w:val="0"/>
              <w:rPr>
                <w:rFonts w:ascii="Arial" w:eastAsia="Times New Roman" w:hAnsi="Arial" w:cs="Arial"/>
                <w:b/>
                <w:bCs/>
                <w:sz w:val="32"/>
                <w:szCs w:val="24"/>
              </w:rPr>
            </w:pPr>
            <w:bookmarkStart w:id="14" w:name="_Toc38877232"/>
            <w:bookmarkStart w:id="15" w:name="_Toc42020741"/>
            <w:bookmarkStart w:id="16" w:name="_Toc42077778"/>
            <w:bookmarkStart w:id="17" w:name="_Toc44574193"/>
            <w:r w:rsidRPr="003B3B59">
              <w:rPr>
                <w:rFonts w:ascii="Arial" w:eastAsia="Times New Roman" w:hAnsi="Arial" w:cs="Arial"/>
                <w:b/>
                <w:bCs/>
                <w:sz w:val="32"/>
                <w:szCs w:val="24"/>
              </w:rPr>
              <w:lastRenderedPageBreak/>
              <w:t>Contact Details: Institutions</w:t>
            </w:r>
            <w:bookmarkEnd w:id="14"/>
            <w:bookmarkEnd w:id="15"/>
            <w:bookmarkEnd w:id="16"/>
            <w:bookmarkEnd w:id="17"/>
          </w:p>
        </w:tc>
      </w:tr>
      <w:tr w:rsidR="003B3B59" w:rsidRPr="003B3B59" w:rsidTr="001C43B5">
        <w:trPr>
          <w:cantSplit/>
          <w:trHeight w:val="665"/>
        </w:trPr>
        <w:tc>
          <w:tcPr>
            <w:tcW w:w="1666" w:type="pct"/>
            <w:shd w:val="clear" w:color="auto" w:fill="FFEFF9"/>
            <w:vAlign w:val="center"/>
          </w:tcPr>
          <w:p w:rsidR="003B3B59" w:rsidRPr="003B3B59" w:rsidRDefault="003B3B59" w:rsidP="001C43B5">
            <w:pPr>
              <w:spacing w:after="0" w:line="360" w:lineRule="auto"/>
              <w:jc w:val="center"/>
              <w:rPr>
                <w:rFonts w:ascii="Arial" w:eastAsia="Times New Roman" w:hAnsi="Arial" w:cs="Arial"/>
                <w:b/>
                <w:kern w:val="16"/>
                <w:sz w:val="24"/>
              </w:rPr>
            </w:pPr>
            <w:r w:rsidRPr="003B3B59">
              <w:rPr>
                <w:rFonts w:ascii="Arial" w:eastAsia="Times New Roman" w:hAnsi="Arial" w:cs="Arial"/>
                <w:b/>
                <w:kern w:val="16"/>
                <w:sz w:val="24"/>
              </w:rPr>
              <w:t>Sponsor:</w:t>
            </w:r>
          </w:p>
          <w:p w:rsidR="003B3B59" w:rsidRPr="003B3B59" w:rsidRDefault="003B3B59" w:rsidP="001C43B5">
            <w:pPr>
              <w:spacing w:after="0" w:line="360" w:lineRule="auto"/>
              <w:ind w:left="72"/>
              <w:jc w:val="center"/>
              <w:rPr>
                <w:rFonts w:ascii="Arial" w:eastAsia="Times New Roman" w:hAnsi="Arial" w:cs="Arial"/>
                <w:sz w:val="24"/>
              </w:rPr>
            </w:pPr>
          </w:p>
        </w:tc>
        <w:tc>
          <w:tcPr>
            <w:tcW w:w="1667" w:type="pct"/>
            <w:shd w:val="clear" w:color="auto" w:fill="FFEFF9"/>
            <w:vAlign w:val="center"/>
          </w:tcPr>
          <w:p w:rsidR="001C43B5" w:rsidRDefault="001C43B5" w:rsidP="001C43B5">
            <w:pPr>
              <w:spacing w:after="0" w:line="360" w:lineRule="auto"/>
              <w:jc w:val="center"/>
              <w:rPr>
                <w:rFonts w:ascii="Arial" w:eastAsia="Times New Roman" w:hAnsi="Arial" w:cs="Arial"/>
                <w:b/>
                <w:kern w:val="16"/>
                <w:sz w:val="24"/>
              </w:rPr>
            </w:pPr>
          </w:p>
          <w:p w:rsidR="003B3B59" w:rsidRPr="003B3B59" w:rsidRDefault="003B3B59" w:rsidP="001C43B5">
            <w:pPr>
              <w:spacing w:after="0" w:line="360" w:lineRule="auto"/>
              <w:jc w:val="center"/>
              <w:rPr>
                <w:rFonts w:ascii="Arial" w:eastAsia="Times New Roman" w:hAnsi="Arial" w:cs="Arial"/>
                <w:b/>
                <w:bCs/>
                <w:kern w:val="16"/>
                <w:sz w:val="24"/>
              </w:rPr>
            </w:pPr>
            <w:r w:rsidRPr="003B3B59">
              <w:rPr>
                <w:rFonts w:ascii="Arial" w:eastAsia="Times New Roman" w:hAnsi="Arial" w:cs="Arial"/>
                <w:b/>
                <w:kern w:val="16"/>
                <w:sz w:val="24"/>
              </w:rPr>
              <w:t>Trial Management, Monitoring and Analysis:</w:t>
            </w:r>
          </w:p>
          <w:p w:rsidR="003B3B59" w:rsidRPr="003B3B59" w:rsidRDefault="003B3B59" w:rsidP="001C43B5">
            <w:pPr>
              <w:spacing w:after="0" w:line="360" w:lineRule="auto"/>
              <w:jc w:val="center"/>
              <w:rPr>
                <w:rFonts w:ascii="Arial" w:eastAsia="Times New Roman" w:hAnsi="Arial" w:cs="Arial"/>
                <w:sz w:val="24"/>
              </w:rPr>
            </w:pPr>
          </w:p>
        </w:tc>
        <w:tc>
          <w:tcPr>
            <w:tcW w:w="1667" w:type="pct"/>
            <w:gridSpan w:val="2"/>
            <w:shd w:val="clear" w:color="auto" w:fill="FFEFF9"/>
            <w:vAlign w:val="center"/>
          </w:tcPr>
          <w:p w:rsidR="003B3B59" w:rsidRPr="003B3B59" w:rsidRDefault="003B3B59" w:rsidP="001C43B5">
            <w:pPr>
              <w:spacing w:after="0" w:line="360" w:lineRule="auto"/>
              <w:ind w:left="72"/>
              <w:jc w:val="center"/>
              <w:rPr>
                <w:rFonts w:ascii="Arial" w:eastAsia="Times New Roman" w:hAnsi="Arial" w:cs="Arial"/>
              </w:rPr>
            </w:pPr>
            <w:r w:rsidRPr="003B3B59">
              <w:rPr>
                <w:rFonts w:ascii="Arial" w:eastAsia="Times New Roman" w:hAnsi="Arial" w:cs="Arial"/>
                <w:b/>
                <w:sz w:val="24"/>
              </w:rPr>
              <w:t>Statistics:</w:t>
            </w:r>
          </w:p>
        </w:tc>
      </w:tr>
      <w:tr w:rsidR="003B3B59" w:rsidRPr="003B3B59" w:rsidTr="003B3B59">
        <w:trPr>
          <w:cantSplit/>
          <w:trHeight w:val="3044"/>
        </w:trPr>
        <w:tc>
          <w:tcPr>
            <w:tcW w:w="1666" w:type="pct"/>
          </w:tcPr>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University of Liverpool</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1st Floor Block C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Waterhouse Building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3 Brownlow Street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Liverpool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L69 3GL  </w:t>
            </w:r>
          </w:p>
          <w:p w:rsidR="003B3B59" w:rsidRPr="003B3B59" w:rsidRDefault="003B3B59" w:rsidP="001C43B5">
            <w:pPr>
              <w:spacing w:beforeLines="60" w:before="144" w:after="0" w:line="360" w:lineRule="auto"/>
              <w:rPr>
                <w:rFonts w:ascii="Arial" w:eastAsia="Times New Roman" w:hAnsi="Arial" w:cs="Arial"/>
                <w:b/>
                <w:color w:val="0000FF"/>
                <w:kern w:val="16"/>
                <w:sz w:val="24"/>
                <w:highlight w:val="cyan"/>
              </w:rPr>
            </w:pPr>
            <w:r w:rsidRPr="003B3B59">
              <w:rPr>
                <w:rFonts w:ascii="Arial" w:eastAsia="Times New Roman" w:hAnsi="Arial" w:cs="Arial"/>
                <w:iCs/>
                <w:sz w:val="24"/>
                <w:lang w:val="fr-FR"/>
              </w:rPr>
              <w:t>Email : sponsor@liverpool.ac.uk</w:t>
            </w:r>
            <w:r w:rsidRPr="003B3B59">
              <w:rPr>
                <w:rFonts w:ascii="Arial" w:eastAsia="Times New Roman" w:hAnsi="Arial" w:cs="Arial"/>
                <w:b/>
                <w:color w:val="0000FF"/>
                <w:kern w:val="16"/>
                <w:sz w:val="24"/>
                <w:highlight w:val="cyan"/>
              </w:rPr>
              <w:t xml:space="preserve"> </w:t>
            </w:r>
          </w:p>
        </w:tc>
        <w:tc>
          <w:tcPr>
            <w:tcW w:w="1667" w:type="pct"/>
          </w:tcPr>
          <w:p w:rsidR="003B3B59" w:rsidRPr="003B3B59" w:rsidRDefault="003B3B59" w:rsidP="001C43B5">
            <w:pPr>
              <w:spacing w:beforeLines="60" w:before="144" w:after="0" w:line="360" w:lineRule="auto"/>
              <w:jc w:val="both"/>
              <w:rPr>
                <w:rFonts w:ascii="Arial" w:eastAsia="Times New Roman" w:hAnsi="Arial" w:cs="Arial"/>
                <w:iCs/>
                <w:sz w:val="24"/>
              </w:rPr>
            </w:pPr>
            <w:r w:rsidRPr="003B3B59">
              <w:rPr>
                <w:rFonts w:ascii="Arial" w:eastAsia="Times New Roman" w:hAnsi="Arial" w:cs="Arial"/>
                <w:iCs/>
                <w:sz w:val="24"/>
              </w:rPr>
              <w:t>Liverpool Clinical Trials Centre</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University of Liverpool</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1st Floor Block C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Waterhouse Building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3 Brownlow Street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Liverpool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L69 3GL</w:t>
            </w:r>
          </w:p>
          <w:p w:rsidR="003B3B59" w:rsidRPr="003B3B59" w:rsidRDefault="003B3B59" w:rsidP="001C43B5">
            <w:pPr>
              <w:spacing w:after="0" w:line="360" w:lineRule="auto"/>
              <w:jc w:val="both"/>
              <w:rPr>
                <w:rFonts w:ascii="Arial" w:eastAsia="Times New Roman" w:hAnsi="Arial" w:cs="Arial"/>
                <w:iCs/>
                <w:sz w:val="24"/>
              </w:rPr>
            </w:pP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Email: primrose@liverpool.ac.uk  </w:t>
            </w:r>
          </w:p>
          <w:p w:rsidR="003B3B59" w:rsidRPr="003B3B59" w:rsidRDefault="003B3B59" w:rsidP="001C43B5">
            <w:pPr>
              <w:spacing w:beforeLines="60" w:before="144" w:after="0" w:line="360" w:lineRule="auto"/>
              <w:ind w:left="72"/>
              <w:rPr>
                <w:rFonts w:ascii="Arial" w:eastAsia="Times New Roman" w:hAnsi="Arial" w:cs="Arial"/>
                <w:iCs/>
                <w:color w:val="0000FF"/>
                <w:sz w:val="24"/>
                <w:highlight w:val="cyan"/>
              </w:rPr>
            </w:pPr>
          </w:p>
          <w:p w:rsidR="003B3B59" w:rsidRPr="003B3B59" w:rsidRDefault="003B3B59" w:rsidP="001C43B5">
            <w:pPr>
              <w:tabs>
                <w:tab w:val="left" w:pos="960"/>
              </w:tabs>
              <w:autoSpaceDE w:val="0"/>
              <w:autoSpaceDN w:val="0"/>
              <w:adjustRightInd w:val="0"/>
              <w:spacing w:beforeLines="60" w:before="144" w:after="0" w:line="360" w:lineRule="auto"/>
              <w:rPr>
                <w:rFonts w:ascii="Arial" w:eastAsia="Times New Roman" w:hAnsi="Arial" w:cs="Arial"/>
                <w:color w:val="0000FF"/>
                <w:kern w:val="16"/>
                <w:sz w:val="24"/>
                <w:highlight w:val="cyan"/>
              </w:rPr>
            </w:pPr>
          </w:p>
        </w:tc>
        <w:tc>
          <w:tcPr>
            <w:tcW w:w="1667" w:type="pct"/>
            <w:gridSpan w:val="2"/>
          </w:tcPr>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Liverpool Clinical Trials Centre</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University of Liverpool</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1st Floor Block C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Waterhouse Building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3 Brownlow Street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Liverpool </w:t>
            </w:r>
          </w:p>
          <w:p w:rsidR="003B3B59" w:rsidRPr="003B3B59" w:rsidRDefault="003B3B59" w:rsidP="001C43B5">
            <w:pPr>
              <w:spacing w:after="0" w:line="360" w:lineRule="auto"/>
              <w:jc w:val="both"/>
              <w:rPr>
                <w:rFonts w:ascii="Arial" w:eastAsia="Times New Roman" w:hAnsi="Arial" w:cs="Arial"/>
                <w:iCs/>
                <w:sz w:val="24"/>
              </w:rPr>
            </w:pPr>
            <w:r w:rsidRPr="003B3B59">
              <w:rPr>
                <w:rFonts w:ascii="Arial" w:eastAsia="Times New Roman" w:hAnsi="Arial" w:cs="Arial"/>
                <w:iCs/>
                <w:sz w:val="24"/>
              </w:rPr>
              <w:t xml:space="preserve">L69 3GL  </w:t>
            </w:r>
          </w:p>
        </w:tc>
      </w:tr>
    </w:tbl>
    <w:p w:rsidR="003B3B59" w:rsidRPr="003B3B59" w:rsidRDefault="003B3B59" w:rsidP="001C43B5">
      <w:pPr>
        <w:spacing w:after="0" w:line="360" w:lineRule="auto"/>
        <w:jc w:val="both"/>
        <w:rPr>
          <w:rFonts w:ascii="Arial" w:eastAsia="Times New Roman" w:hAnsi="Arial" w:cs="Arial"/>
          <w:b/>
          <w:sz w:val="16"/>
          <w:szCs w:val="16"/>
        </w:rPr>
      </w:pPr>
      <w:r w:rsidRPr="003B3B59">
        <w:rPr>
          <w:rFonts w:ascii="Arial" w:eastAsia="Times New Roman" w:hAnsi="Arial" w:cs="Arial"/>
          <w:b/>
          <w:sz w:val="16"/>
          <w:szCs w:val="16"/>
        </w:rPr>
        <w:br w:type="textWrapping" w:clear="all"/>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br w:type="page"/>
      </w:r>
    </w:p>
    <w:p w:rsidR="003B3B59" w:rsidRPr="003B3B59" w:rsidRDefault="003B3B59" w:rsidP="001C43B5">
      <w:pPr>
        <w:spacing w:after="0" w:line="360" w:lineRule="auto"/>
        <w:jc w:val="both"/>
        <w:rPr>
          <w:rFonts w:ascii="Arial" w:eastAsia="Times New Roman" w:hAnsi="Arial" w:cs="Arial"/>
          <w:b/>
          <w:sz w:val="24"/>
          <w:szCs w:val="24"/>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3050"/>
        <w:gridCol w:w="2847"/>
      </w:tblGrid>
      <w:tr w:rsidR="003B3B59" w:rsidRPr="003B3B59" w:rsidTr="003B3B59">
        <w:trPr>
          <w:cantSplit/>
          <w:trHeight w:val="492"/>
          <w:tblHeader/>
        </w:trPr>
        <w:tc>
          <w:tcPr>
            <w:tcW w:w="9759" w:type="dxa"/>
            <w:gridSpan w:val="3"/>
            <w:tcBorders>
              <w:top w:val="nil"/>
              <w:left w:val="nil"/>
              <w:right w:val="nil"/>
            </w:tcBorders>
          </w:tcPr>
          <w:p w:rsidR="003B3B59" w:rsidRPr="003B3B59" w:rsidRDefault="003B3B59" w:rsidP="001C43B5">
            <w:pPr>
              <w:spacing w:after="0" w:line="360" w:lineRule="auto"/>
              <w:jc w:val="both"/>
              <w:rPr>
                <w:rFonts w:ascii="Arial" w:eastAsia="Times New Roman" w:hAnsi="Arial" w:cs="Arial"/>
                <w:b/>
                <w:sz w:val="32"/>
                <w:szCs w:val="32"/>
              </w:rPr>
            </w:pPr>
            <w:r w:rsidRPr="003B3B59">
              <w:rPr>
                <w:rFonts w:ascii="Arial" w:eastAsia="Times New Roman" w:hAnsi="Arial" w:cs="Arial"/>
                <w:b/>
                <w:sz w:val="32"/>
                <w:szCs w:val="32"/>
              </w:rPr>
              <w:t>Contact Details: Individuals</w:t>
            </w:r>
          </w:p>
        </w:tc>
      </w:tr>
      <w:tr w:rsidR="003B3B59" w:rsidRPr="003B3B59" w:rsidTr="001C43B5">
        <w:trPr>
          <w:trHeight w:val="776"/>
        </w:trPr>
        <w:tc>
          <w:tcPr>
            <w:tcW w:w="3253" w:type="dxa"/>
            <w:shd w:val="clear" w:color="auto" w:fill="FFEFF9"/>
            <w:vAlign w:val="center"/>
          </w:tcPr>
          <w:p w:rsidR="003B3B59" w:rsidRPr="003B3B59" w:rsidRDefault="003B3B59" w:rsidP="001C43B5">
            <w:pPr>
              <w:spacing w:after="0" w:line="360" w:lineRule="auto"/>
              <w:ind w:left="72"/>
              <w:jc w:val="center"/>
              <w:rPr>
                <w:rFonts w:ascii="Arial" w:eastAsia="Times New Roman" w:hAnsi="Arial" w:cs="Arial"/>
                <w:b/>
                <w:sz w:val="24"/>
              </w:rPr>
            </w:pPr>
            <w:r w:rsidRPr="003B3B59">
              <w:rPr>
                <w:rFonts w:ascii="Arial" w:eastAsia="Times New Roman" w:hAnsi="Arial" w:cs="Arial"/>
                <w:b/>
                <w:iCs/>
                <w:sz w:val="24"/>
              </w:rPr>
              <w:t>Individual Authorised to Sign the Protocol and Protocol Amendments on behalf of the Sponsor:</w:t>
            </w:r>
          </w:p>
        </w:tc>
        <w:tc>
          <w:tcPr>
            <w:tcW w:w="3253" w:type="dxa"/>
            <w:shd w:val="clear" w:color="auto" w:fill="FFEFF9"/>
            <w:vAlign w:val="center"/>
          </w:tcPr>
          <w:p w:rsidR="003B3B59" w:rsidRPr="003B3B59" w:rsidRDefault="003B3B59" w:rsidP="001C43B5">
            <w:pPr>
              <w:spacing w:after="0" w:line="360" w:lineRule="auto"/>
              <w:jc w:val="center"/>
              <w:rPr>
                <w:rFonts w:ascii="Arial" w:eastAsia="Times New Roman" w:hAnsi="Arial" w:cs="Arial"/>
                <w:b/>
                <w:sz w:val="24"/>
              </w:rPr>
            </w:pPr>
            <w:r w:rsidRPr="003B3B59">
              <w:rPr>
                <w:rFonts w:ascii="Arial" w:eastAsia="Times New Roman" w:hAnsi="Arial" w:cs="Arial"/>
                <w:b/>
                <w:iCs/>
                <w:sz w:val="24"/>
              </w:rPr>
              <w:t>Chief Investigator (CI):</w:t>
            </w:r>
          </w:p>
        </w:tc>
        <w:tc>
          <w:tcPr>
            <w:tcW w:w="3253" w:type="dxa"/>
            <w:shd w:val="clear" w:color="auto" w:fill="FFEFF9"/>
            <w:vAlign w:val="center"/>
          </w:tcPr>
          <w:p w:rsidR="001C43B5" w:rsidRDefault="001C43B5" w:rsidP="001C43B5">
            <w:pPr>
              <w:spacing w:after="0" w:line="360" w:lineRule="auto"/>
              <w:jc w:val="center"/>
              <w:rPr>
                <w:rFonts w:ascii="Arial" w:eastAsia="Times New Roman" w:hAnsi="Arial" w:cs="Arial"/>
                <w:b/>
                <w:iCs/>
                <w:sz w:val="24"/>
              </w:rPr>
            </w:pPr>
          </w:p>
          <w:p w:rsidR="003B3B59" w:rsidRPr="003B3B59" w:rsidRDefault="003B3B59" w:rsidP="001C43B5">
            <w:pPr>
              <w:spacing w:after="0" w:line="360" w:lineRule="auto"/>
              <w:jc w:val="center"/>
              <w:rPr>
                <w:rFonts w:ascii="Arial" w:eastAsia="Times New Roman" w:hAnsi="Arial" w:cs="Arial"/>
                <w:b/>
                <w:iCs/>
                <w:sz w:val="24"/>
              </w:rPr>
            </w:pPr>
            <w:r w:rsidRPr="003B3B59">
              <w:rPr>
                <w:rFonts w:ascii="Arial" w:eastAsia="Times New Roman" w:hAnsi="Arial" w:cs="Arial"/>
                <w:b/>
                <w:iCs/>
                <w:sz w:val="24"/>
              </w:rPr>
              <w:t>Medical Expert who will Advise on Protocol Related Clinical Queries (in cases where the CI is unavailable to respond to urgent queries):</w:t>
            </w:r>
          </w:p>
          <w:p w:rsidR="003B3B59" w:rsidRPr="003B3B59" w:rsidRDefault="003B3B59" w:rsidP="001C43B5">
            <w:pPr>
              <w:spacing w:after="0" w:line="360" w:lineRule="auto"/>
              <w:jc w:val="center"/>
              <w:rPr>
                <w:rFonts w:ascii="Arial" w:eastAsia="Times New Roman" w:hAnsi="Arial" w:cs="Arial"/>
                <w:b/>
                <w:iCs/>
              </w:rPr>
            </w:pPr>
          </w:p>
        </w:tc>
      </w:tr>
      <w:tr w:rsidR="003B3B59" w:rsidRPr="003B3B59" w:rsidTr="003B3B59">
        <w:trPr>
          <w:trHeight w:val="2365"/>
        </w:trPr>
        <w:tc>
          <w:tcPr>
            <w:tcW w:w="3253" w:type="dxa"/>
            <w:tcBorders>
              <w:bottom w:val="single" w:sz="4" w:space="0" w:color="auto"/>
            </w:tcBorders>
          </w:tcPr>
          <w:p w:rsidR="003B3B59" w:rsidRPr="003B3B59" w:rsidRDefault="003B3B59" w:rsidP="001C43B5">
            <w:pPr>
              <w:spacing w:after="0" w:line="360" w:lineRule="auto"/>
              <w:rPr>
                <w:rFonts w:ascii="Arial" w:eastAsia="Times New Roman" w:hAnsi="Arial" w:cs="Arial"/>
                <w:sz w:val="24"/>
              </w:rPr>
            </w:pPr>
            <w:r w:rsidRPr="003B3B59">
              <w:rPr>
                <w:rFonts w:ascii="Arial" w:eastAsia="Times New Roman" w:hAnsi="Arial" w:cs="Arial"/>
                <w:sz w:val="24"/>
              </w:rPr>
              <w:t>Charlotte Rawcliffe</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sz w:val="24"/>
              </w:rPr>
              <w:t>Liverpool Clinical Trials Centre</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1st Floor Block C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Waterhouse Building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3 Brownlow Street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 xml:space="preserve">Liverpool </w:t>
            </w:r>
          </w:p>
          <w:p w:rsidR="003B3B59" w:rsidRPr="003B3B59" w:rsidRDefault="003B3B59" w:rsidP="001C43B5">
            <w:pPr>
              <w:spacing w:after="0" w:line="360" w:lineRule="auto"/>
              <w:rPr>
                <w:rFonts w:ascii="Arial" w:eastAsia="Times New Roman" w:hAnsi="Arial" w:cs="Arial"/>
                <w:iCs/>
                <w:sz w:val="24"/>
              </w:rPr>
            </w:pPr>
            <w:r w:rsidRPr="003B3B59">
              <w:rPr>
                <w:rFonts w:ascii="Arial" w:eastAsia="Times New Roman" w:hAnsi="Arial" w:cs="Arial"/>
                <w:iCs/>
                <w:sz w:val="24"/>
              </w:rPr>
              <w:t>L69 3GL</w:t>
            </w:r>
          </w:p>
          <w:p w:rsidR="003B3B59" w:rsidRPr="003B3B59" w:rsidRDefault="003B3B59" w:rsidP="001C43B5">
            <w:pPr>
              <w:spacing w:after="0" w:line="360" w:lineRule="auto"/>
              <w:rPr>
                <w:rFonts w:ascii="Arial" w:eastAsia="Times New Roman" w:hAnsi="Arial" w:cs="Arial"/>
                <w:iCs/>
                <w:sz w:val="24"/>
              </w:rPr>
            </w:pPr>
          </w:p>
          <w:p w:rsidR="003B3B59" w:rsidRPr="003B3B59" w:rsidRDefault="003B3B59" w:rsidP="001C43B5">
            <w:pPr>
              <w:spacing w:after="0" w:line="360" w:lineRule="auto"/>
              <w:rPr>
                <w:rFonts w:ascii="Arial" w:eastAsia="Times New Roman" w:hAnsi="Arial" w:cs="Times New Roman"/>
                <w:sz w:val="24"/>
                <w:szCs w:val="24"/>
                <w:lang w:val="fr-FR"/>
              </w:rPr>
            </w:pPr>
            <w:r w:rsidRPr="003B3B59">
              <w:rPr>
                <w:rFonts w:ascii="Arial" w:eastAsia="Times New Roman" w:hAnsi="Arial" w:cs="Arial"/>
                <w:iCs/>
                <w:sz w:val="24"/>
              </w:rPr>
              <w:t xml:space="preserve">E: </w:t>
            </w:r>
            <w:r w:rsidRPr="003B3B59">
              <w:rPr>
                <w:rFonts w:ascii="Arial" w:eastAsia="Times New Roman" w:hAnsi="Arial" w:cs="Times New Roman"/>
                <w:sz w:val="24"/>
                <w:lang w:val="fr-FR"/>
              </w:rPr>
              <w:t xml:space="preserve">charlotte.rawcliffe@liverpool.ac.uk  </w:t>
            </w:r>
          </w:p>
          <w:p w:rsidR="003B3B59" w:rsidRPr="003B3B59" w:rsidRDefault="003B3B59" w:rsidP="001C43B5">
            <w:pPr>
              <w:spacing w:beforeLines="60" w:before="144" w:after="0" w:line="360" w:lineRule="auto"/>
              <w:ind w:left="72"/>
              <w:rPr>
                <w:rFonts w:ascii="Arial" w:eastAsia="Times New Roman" w:hAnsi="Arial" w:cs="Arial"/>
                <w:b/>
                <w:kern w:val="16"/>
                <w:sz w:val="24"/>
              </w:rPr>
            </w:pPr>
          </w:p>
        </w:tc>
        <w:tc>
          <w:tcPr>
            <w:tcW w:w="3253" w:type="dxa"/>
            <w:tcBorders>
              <w:bottom w:val="single" w:sz="4" w:space="0" w:color="auto"/>
            </w:tcBorders>
          </w:tcPr>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sz w:val="24"/>
              </w:rPr>
              <w:t>Professor Carlo Palmieri</w:t>
            </w:r>
            <w:r w:rsidRPr="003B3B59">
              <w:rPr>
                <w:rFonts w:ascii="Arial" w:eastAsia="Times New Roman" w:hAnsi="Arial" w:cs="Arial"/>
                <w:iCs/>
                <w:sz w:val="24"/>
              </w:rPr>
              <w:t xml:space="preserve"> </w:t>
            </w:r>
          </w:p>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iCs/>
                <w:sz w:val="24"/>
              </w:rPr>
              <w:t>Department of Molecular and Clinical Cancer Medicine, Institute of Translational Medicine</w:t>
            </w:r>
          </w:p>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iCs/>
                <w:sz w:val="24"/>
              </w:rPr>
              <w:t>University of Liverpool</w:t>
            </w:r>
          </w:p>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iCs/>
                <w:sz w:val="24"/>
              </w:rPr>
              <w:t xml:space="preserve">Level 6 </w:t>
            </w:r>
          </w:p>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iCs/>
                <w:sz w:val="24"/>
              </w:rPr>
              <w:t>Duncan Building</w:t>
            </w:r>
          </w:p>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iCs/>
                <w:sz w:val="24"/>
              </w:rPr>
              <w:t>Daulby Street</w:t>
            </w:r>
          </w:p>
          <w:p w:rsidR="003B3B59" w:rsidRPr="003B3B59" w:rsidRDefault="003B3B59" w:rsidP="001C43B5">
            <w:pPr>
              <w:suppressAutoHyphens/>
              <w:spacing w:after="0" w:line="360" w:lineRule="auto"/>
              <w:ind w:left="37"/>
              <w:rPr>
                <w:rFonts w:ascii="Arial" w:eastAsia="Times New Roman" w:hAnsi="Arial" w:cs="Arial"/>
                <w:iCs/>
                <w:sz w:val="24"/>
              </w:rPr>
            </w:pPr>
            <w:r w:rsidRPr="003B3B59">
              <w:rPr>
                <w:rFonts w:ascii="Arial" w:eastAsia="Times New Roman" w:hAnsi="Arial" w:cs="Arial"/>
                <w:iCs/>
                <w:sz w:val="24"/>
              </w:rPr>
              <w:t xml:space="preserve">Liverpool </w:t>
            </w:r>
          </w:p>
          <w:p w:rsidR="003B3B59" w:rsidRPr="003B3B59" w:rsidRDefault="003B3B59" w:rsidP="001C43B5">
            <w:pPr>
              <w:spacing w:after="0" w:line="360" w:lineRule="auto"/>
              <w:ind w:left="37"/>
              <w:rPr>
                <w:rFonts w:ascii="Arial" w:eastAsia="Times New Roman" w:hAnsi="Arial" w:cs="Arial"/>
                <w:sz w:val="24"/>
              </w:rPr>
            </w:pPr>
            <w:r w:rsidRPr="003B3B59">
              <w:rPr>
                <w:rFonts w:ascii="Arial" w:eastAsia="Times New Roman" w:hAnsi="Arial" w:cs="Arial"/>
                <w:iCs/>
                <w:sz w:val="24"/>
              </w:rPr>
              <w:t>L69 3GA</w:t>
            </w:r>
          </w:p>
          <w:p w:rsidR="003B3B59" w:rsidRPr="003B3B59" w:rsidRDefault="003B3B59" w:rsidP="001C43B5">
            <w:pPr>
              <w:spacing w:after="0" w:line="360" w:lineRule="auto"/>
              <w:ind w:left="37"/>
              <w:rPr>
                <w:rFonts w:ascii="Arial" w:eastAsia="Times New Roman" w:hAnsi="Arial" w:cs="Arial"/>
                <w:sz w:val="24"/>
              </w:rPr>
            </w:pPr>
          </w:p>
          <w:p w:rsidR="003B3B59" w:rsidRPr="003B3B59" w:rsidRDefault="003B3B59" w:rsidP="001C43B5">
            <w:pPr>
              <w:spacing w:after="0" w:line="360" w:lineRule="auto"/>
              <w:ind w:left="37"/>
              <w:rPr>
                <w:rFonts w:ascii="Arial" w:eastAsia="Times New Roman" w:hAnsi="Arial" w:cs="Arial"/>
                <w:iCs/>
                <w:sz w:val="24"/>
              </w:rPr>
            </w:pPr>
            <w:r w:rsidRPr="003B3B59">
              <w:rPr>
                <w:rFonts w:ascii="Arial" w:eastAsia="Times New Roman" w:hAnsi="Arial" w:cs="Arial"/>
                <w:sz w:val="24"/>
              </w:rPr>
              <w:t>T</w:t>
            </w:r>
            <w:r w:rsidRPr="003B3B59">
              <w:rPr>
                <w:rFonts w:ascii="Arial" w:eastAsia="Times New Roman" w:hAnsi="Arial" w:cs="Arial"/>
                <w:iCs/>
                <w:sz w:val="24"/>
              </w:rPr>
              <w:t>el: 0151 706 3616</w:t>
            </w:r>
          </w:p>
          <w:p w:rsidR="003B3B59" w:rsidRPr="003B3B59" w:rsidRDefault="003B3B59" w:rsidP="001C43B5">
            <w:pPr>
              <w:spacing w:after="0" w:line="360" w:lineRule="auto"/>
              <w:ind w:left="37"/>
              <w:rPr>
                <w:rFonts w:ascii="Arial" w:eastAsia="Times New Roman" w:hAnsi="Arial" w:cs="Arial"/>
                <w:iCs/>
                <w:sz w:val="24"/>
              </w:rPr>
            </w:pPr>
            <w:r w:rsidRPr="003B3B59">
              <w:rPr>
                <w:rFonts w:ascii="Arial" w:eastAsia="Times New Roman" w:hAnsi="Arial" w:cs="Arial"/>
                <w:iCs/>
                <w:sz w:val="24"/>
                <w:lang w:val="fr-FR"/>
              </w:rPr>
              <w:t xml:space="preserve">E: </w:t>
            </w:r>
            <w:hyperlink r:id="rId11" w:history="1">
              <w:r w:rsidRPr="003B3B59">
                <w:rPr>
                  <w:rFonts w:ascii="Arial" w:eastAsia="Times New Roman" w:hAnsi="Arial" w:cs="Arial"/>
                  <w:iCs/>
                  <w:sz w:val="24"/>
                  <w:lang w:val="fr-FR"/>
                </w:rPr>
                <w:t>c.palmieri@liv.ac.uk</w:t>
              </w:r>
            </w:hyperlink>
          </w:p>
        </w:tc>
        <w:tc>
          <w:tcPr>
            <w:tcW w:w="3253" w:type="dxa"/>
            <w:tcBorders>
              <w:bottom w:val="single" w:sz="4" w:space="0" w:color="auto"/>
            </w:tcBorders>
          </w:tcPr>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t>Professor Michael Jenkinson</w:t>
            </w:r>
          </w:p>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t>The Walton Centre NHS Foundation Trust</w:t>
            </w:r>
          </w:p>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t>Lower Lane</w:t>
            </w:r>
          </w:p>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t>Fazakerley</w:t>
            </w:r>
          </w:p>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t>Liverpool</w:t>
            </w:r>
          </w:p>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t>L9 7LJ</w:t>
            </w:r>
          </w:p>
        </w:tc>
      </w:tr>
    </w:tbl>
    <w:p w:rsidR="003B3B59" w:rsidRPr="003B3B59" w:rsidRDefault="003B3B59" w:rsidP="001C43B5">
      <w:pPr>
        <w:spacing w:after="0" w:line="360" w:lineRule="auto"/>
        <w:jc w:val="both"/>
        <w:rPr>
          <w:rFonts w:ascii="Arial" w:eastAsia="Times New Roman" w:hAnsi="Arial" w:cs="Arial"/>
          <w:b/>
          <w:sz w:val="24"/>
        </w:rPr>
      </w:pPr>
    </w:p>
    <w:p w:rsidR="003B3B59" w:rsidRPr="003B3B59" w:rsidRDefault="003B3B59" w:rsidP="001C43B5">
      <w:pPr>
        <w:spacing w:after="0" w:line="360" w:lineRule="auto"/>
        <w:jc w:val="both"/>
        <w:rPr>
          <w:rFonts w:ascii="Arial" w:eastAsia="Times New Roman" w:hAnsi="Arial" w:cs="Arial"/>
          <w:b/>
          <w:sz w:val="24"/>
        </w:rPr>
      </w:pPr>
      <w:r w:rsidRPr="003B3B59">
        <w:rPr>
          <w:rFonts w:ascii="Arial" w:eastAsia="Times New Roman" w:hAnsi="Arial" w:cs="Arial"/>
          <w:b/>
          <w:sz w:val="24"/>
        </w:rPr>
        <w:t xml:space="preserve"> Additional Contacts: </w:t>
      </w: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rPr>
        <w:t>The contact details for the audit oversight committee members and participating centres are detailed in documents supplementary to the protocol and stored in the Trial Master File.</w:t>
      </w:r>
    </w:p>
    <w:p w:rsidR="003B3B59" w:rsidRPr="003B3B59" w:rsidRDefault="003B3B59" w:rsidP="001C43B5">
      <w:pPr>
        <w:spacing w:after="0" w:line="360" w:lineRule="auto"/>
        <w:jc w:val="both"/>
        <w:rPr>
          <w:rFonts w:ascii="Arial" w:eastAsia="Times New Roman" w:hAnsi="Arial" w:cs="Arial"/>
          <w:sz w:val="24"/>
        </w:rPr>
      </w:pPr>
    </w:p>
    <w:p w:rsidR="003B3B59" w:rsidRPr="003B3B59" w:rsidRDefault="003B3B59" w:rsidP="001C43B5">
      <w:pPr>
        <w:spacing w:after="0" w:line="360" w:lineRule="auto"/>
        <w:rPr>
          <w:rFonts w:ascii="Arial" w:eastAsia="Times New Roman" w:hAnsi="Arial" w:cs="Arial"/>
          <w:sz w:val="24"/>
        </w:rPr>
      </w:pPr>
      <w:r w:rsidRPr="003B3B59">
        <w:rPr>
          <w:rFonts w:ascii="Arial" w:eastAsia="Times New Roman" w:hAnsi="Arial" w:cs="Arial"/>
          <w:sz w:val="24"/>
        </w:rPr>
        <w:br w:type="page"/>
      </w:r>
    </w:p>
    <w:p w:rsidR="003B3B59" w:rsidRPr="003B3B59" w:rsidRDefault="003B3B59" w:rsidP="001C43B5">
      <w:pPr>
        <w:keepNext/>
        <w:pageBreakBefore/>
        <w:numPr>
          <w:ilvl w:val="0"/>
          <w:numId w:val="16"/>
        </w:numPr>
        <w:spacing w:after="360" w:line="360" w:lineRule="auto"/>
        <w:ind w:left="567" w:hanging="567"/>
        <w:jc w:val="both"/>
        <w:outlineLvl w:val="0"/>
        <w:rPr>
          <w:rFonts w:ascii="Arial" w:eastAsia="Times New Roman" w:hAnsi="Arial" w:cs="Arial"/>
          <w:b/>
          <w:bCs/>
          <w:sz w:val="32"/>
        </w:rPr>
      </w:pPr>
      <w:bookmarkStart w:id="18" w:name="_Toc32578416"/>
      <w:bookmarkStart w:id="19" w:name="_Toc38877233"/>
      <w:bookmarkStart w:id="20" w:name="_Toc42020742"/>
      <w:bookmarkStart w:id="21" w:name="_Toc42077779"/>
      <w:bookmarkStart w:id="22" w:name="_Toc44574194"/>
      <w:r w:rsidRPr="003B3B59">
        <w:rPr>
          <w:rFonts w:ascii="Arial" w:eastAsia="Times New Roman" w:hAnsi="Arial" w:cs="Arial"/>
          <w:b/>
          <w:bCs/>
          <w:sz w:val="32"/>
          <w:szCs w:val="24"/>
        </w:rPr>
        <w:lastRenderedPageBreak/>
        <w:t>Glossary</w:t>
      </w:r>
      <w:bookmarkEnd w:id="18"/>
      <w:bookmarkEnd w:id="19"/>
      <w:bookmarkEnd w:id="20"/>
      <w:bookmarkEnd w:id="21"/>
      <w:bookmarkEnd w:id="22"/>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363"/>
      </w:tblGrid>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rPr>
                <w:rFonts w:ascii="Arial" w:eastAsia="Times New Roman" w:hAnsi="Arial" w:cs="Arial"/>
                <w:color w:val="000000"/>
                <w:sz w:val="24"/>
                <w:szCs w:val="24"/>
                <w:lang w:eastAsia="en-GB"/>
              </w:rPr>
            </w:pPr>
            <w:r w:rsidRPr="003B3B59">
              <w:rPr>
                <w:rFonts w:ascii="Arial" w:eastAsia="Times New Roman" w:hAnsi="Arial" w:cs="Arial"/>
                <w:color w:val="000000"/>
                <w:sz w:val="24"/>
                <w:szCs w:val="24"/>
              </w:rPr>
              <w:t>ABN</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Association of British Neurologists</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BCTRCG</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Breast Cancer Trainees Research Collaborative Group</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BNSU</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British Neurological Surveillance Unit</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CI</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Chief Investigator</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CM</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Cerebral Metastases</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CNS</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Central Nervous System</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CSF</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Cerebrospinal Fluid</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CT</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Computed Tomography</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GCP</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Good Clinical Practice</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HER2</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Human Epidermal Growth Factor Receptor 2</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ISRCTN</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International Standard Randomised Controlled Trials Number</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LCTC</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Liverpool Clinical Trials Centre</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LM</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Leptomeningeal Metastases</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MBC</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Metastatic Breast Cancer</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MRI</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Magnetic Resonance Imaging</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NHS</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National Health Service</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PND</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Paraneoplastic Neurological Disorders</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QA</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Quality Assurance</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QC</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Quality Control</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REDCap</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Research Electronic Data Capture</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SRS</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Stereotactic Radiosurgery</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TMF</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Trial Master File</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TMG</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Trial Management Group</w:t>
            </w:r>
          </w:p>
        </w:tc>
      </w:tr>
      <w:tr w:rsidR="003B3B59" w:rsidRPr="003B3B59" w:rsidTr="003B3B59">
        <w:trPr>
          <w:trHeight w:val="180"/>
        </w:trPr>
        <w:tc>
          <w:tcPr>
            <w:tcW w:w="2122"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TSC</w:t>
            </w:r>
          </w:p>
        </w:tc>
        <w:tc>
          <w:tcPr>
            <w:tcW w:w="8363" w:type="dxa"/>
            <w:shd w:val="clear" w:color="auto" w:fill="auto"/>
            <w:vAlign w:val="center"/>
            <w:hideMark/>
          </w:tcPr>
          <w:p w:rsidR="003B3B59" w:rsidRPr="003B3B59" w:rsidRDefault="003B3B59" w:rsidP="001C43B5">
            <w:pPr>
              <w:spacing w:after="0" w:line="360" w:lineRule="auto"/>
              <w:jc w:val="both"/>
              <w:rPr>
                <w:rFonts w:ascii="Arial" w:eastAsia="Times New Roman" w:hAnsi="Arial" w:cs="Arial"/>
                <w:color w:val="000000"/>
                <w:sz w:val="24"/>
                <w:szCs w:val="24"/>
              </w:rPr>
            </w:pPr>
            <w:r w:rsidRPr="003B3B59">
              <w:rPr>
                <w:rFonts w:ascii="Arial" w:eastAsia="Times New Roman" w:hAnsi="Arial" w:cs="Arial"/>
                <w:color w:val="000000"/>
                <w:sz w:val="24"/>
                <w:szCs w:val="24"/>
              </w:rPr>
              <w:t>Trial Steering Committee</w:t>
            </w:r>
          </w:p>
        </w:tc>
      </w:tr>
    </w:tbl>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tabs>
          <w:tab w:val="left" w:pos="1047"/>
        </w:tabs>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ab/>
      </w:r>
    </w:p>
    <w:p w:rsidR="003B3B59" w:rsidRPr="003B3B59" w:rsidRDefault="003B3B59" w:rsidP="001C43B5">
      <w:pPr>
        <w:spacing w:after="0" w:line="360" w:lineRule="auto"/>
        <w:rPr>
          <w:rFonts w:ascii="Arial" w:eastAsia="Times New Roman" w:hAnsi="Arial" w:cs="Arial"/>
          <w:sz w:val="24"/>
          <w:szCs w:val="24"/>
        </w:rPr>
      </w:pPr>
      <w:r w:rsidRPr="003B3B59">
        <w:rPr>
          <w:rFonts w:ascii="Arial" w:eastAsia="Times New Roman" w:hAnsi="Arial" w:cs="Arial"/>
          <w:sz w:val="24"/>
          <w:szCs w:val="24"/>
        </w:rPr>
        <w:br w:type="page"/>
      </w:r>
    </w:p>
    <w:p w:rsidR="003B3B59" w:rsidRPr="003B3B59" w:rsidRDefault="003B3B59" w:rsidP="001C43B5">
      <w:pPr>
        <w:keepNext/>
        <w:pageBreakBefore/>
        <w:numPr>
          <w:ilvl w:val="0"/>
          <w:numId w:val="16"/>
        </w:numPr>
        <w:spacing w:after="0" w:line="360" w:lineRule="auto"/>
        <w:ind w:left="567" w:hanging="567"/>
        <w:jc w:val="both"/>
        <w:outlineLvl w:val="0"/>
        <w:rPr>
          <w:rFonts w:ascii="Arial" w:eastAsia="Times New Roman" w:hAnsi="Arial" w:cs="Arial"/>
          <w:b/>
          <w:bCs/>
          <w:sz w:val="32"/>
          <w:szCs w:val="24"/>
        </w:rPr>
      </w:pPr>
      <w:bookmarkStart w:id="23" w:name="_Toc32578417"/>
      <w:bookmarkStart w:id="24" w:name="_Toc38877234"/>
      <w:bookmarkStart w:id="25" w:name="_Toc42020743"/>
      <w:bookmarkStart w:id="26" w:name="_Toc42077780"/>
      <w:bookmarkStart w:id="27" w:name="_Toc44574195"/>
      <w:r w:rsidRPr="003B3B59">
        <w:rPr>
          <w:rFonts w:ascii="Arial" w:eastAsia="Times New Roman" w:hAnsi="Arial" w:cs="Arial"/>
          <w:b/>
          <w:bCs/>
          <w:sz w:val="32"/>
          <w:szCs w:val="24"/>
        </w:rPr>
        <w:lastRenderedPageBreak/>
        <w:t>Protocol Overview</w:t>
      </w:r>
      <w:bookmarkEnd w:id="23"/>
      <w:bookmarkEnd w:id="24"/>
      <w:bookmarkEnd w:id="25"/>
      <w:bookmarkEnd w:id="26"/>
      <w:bookmarkEnd w:id="27"/>
    </w:p>
    <w:p w:rsidR="003B3B59" w:rsidRPr="003B3B59" w:rsidRDefault="003B3B59" w:rsidP="001C43B5">
      <w:pPr>
        <w:spacing w:after="0" w:line="360" w:lineRule="auto"/>
        <w:jc w:val="both"/>
        <w:rPr>
          <w:rFonts w:ascii="Arial" w:eastAsia="Times New Roman" w:hAnsi="Arial" w:cs="Arial"/>
          <w:sz w:val="24"/>
          <w:szCs w:val="20"/>
        </w:rPr>
      </w:pPr>
    </w:p>
    <w:tbl>
      <w:tblPr>
        <w:tblpPr w:leftFromText="180" w:rightFromText="180" w:vertAnchor="text" w:horzAnchor="margin" w:tblpY="8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946"/>
      </w:tblGrid>
      <w:tr w:rsidR="003B3B59" w:rsidRPr="003B3B59" w:rsidTr="001C43B5">
        <w:trPr>
          <w:trHeight w:val="835"/>
        </w:trPr>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Full Title</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Arial"/>
                <w:sz w:val="24"/>
                <w:szCs w:val="24"/>
              </w:rPr>
            </w:pPr>
            <w:r w:rsidRPr="003B3B59">
              <w:rPr>
                <w:rFonts w:ascii="Arial" w:eastAsia="Times New Roman" w:hAnsi="Arial" w:cs="Times New Roman"/>
                <w:bCs/>
                <w:iCs/>
                <w:sz w:val="24"/>
                <w:szCs w:val="24"/>
              </w:rPr>
              <w:t xml:space="preserve">PRIMROSE Audit: </w:t>
            </w:r>
            <w:r w:rsidRPr="003B3B59">
              <w:rPr>
                <w:rFonts w:ascii="Arial" w:eastAsia="Times New Roman" w:hAnsi="Arial" w:cs="Arial"/>
                <w:sz w:val="24"/>
                <w:szCs w:val="24"/>
              </w:rPr>
              <w:t xml:space="preserve">prospective multi-centre cohort study to assess </w:t>
            </w:r>
            <w:r w:rsidR="00B93747" w:rsidRPr="003B3B59">
              <w:rPr>
                <w:rFonts w:ascii="Arial" w:eastAsia="Times New Roman" w:hAnsi="Arial" w:cs="Arial"/>
                <w:sz w:val="24"/>
                <w:szCs w:val="24"/>
              </w:rPr>
              <w:t xml:space="preserve">the </w:t>
            </w:r>
            <w:r w:rsidR="00B93747" w:rsidRPr="003B3B59">
              <w:rPr>
                <w:rFonts w:ascii="Arial" w:eastAsia="Times New Roman" w:hAnsi="Arial" w:cs="Times New Roman"/>
                <w:szCs w:val="24"/>
              </w:rPr>
              <w:t>presentation</w:t>
            </w:r>
            <w:r w:rsidRPr="003B3B59">
              <w:rPr>
                <w:rFonts w:ascii="Arial" w:eastAsia="Times New Roman" w:hAnsi="Arial" w:cs="Arial"/>
                <w:sz w:val="24"/>
                <w:szCs w:val="24"/>
              </w:rPr>
              <w:t>, management and outcomes of patients with CNS disease secondary to breast cancer</w:t>
            </w:r>
          </w:p>
          <w:p w:rsidR="003B3B59" w:rsidRPr="003B3B59" w:rsidRDefault="003B3B59" w:rsidP="001C43B5">
            <w:pPr>
              <w:tabs>
                <w:tab w:val="left" w:pos="2160"/>
              </w:tabs>
              <w:spacing w:after="0" w:line="360" w:lineRule="auto"/>
              <w:jc w:val="both"/>
              <w:rPr>
                <w:rFonts w:ascii="Arial" w:eastAsia="Times New Roman" w:hAnsi="Arial" w:cs="Arial"/>
                <w:sz w:val="24"/>
                <w:szCs w:val="24"/>
              </w:rPr>
            </w:pPr>
          </w:p>
        </w:tc>
      </w:tr>
      <w:tr w:rsidR="003B3B59" w:rsidRPr="003B3B59" w:rsidTr="001C43B5">
        <w:trPr>
          <w:trHeight w:val="835"/>
        </w:trPr>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Acronym</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bCs/>
                <w:iCs/>
                <w:sz w:val="24"/>
                <w:szCs w:val="24"/>
              </w:rPr>
            </w:pPr>
            <w:r w:rsidRPr="003B3B59">
              <w:rPr>
                <w:rFonts w:ascii="Arial" w:eastAsia="Times New Roman" w:hAnsi="Arial" w:cs="Times New Roman"/>
                <w:bCs/>
                <w:iCs/>
                <w:sz w:val="24"/>
                <w:szCs w:val="24"/>
              </w:rPr>
              <w:t>PRIMROSE Audit</w:t>
            </w:r>
          </w:p>
        </w:tc>
      </w:tr>
      <w:tr w:rsidR="003B3B59" w:rsidRPr="003B3B59" w:rsidTr="001C43B5">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Phase</w:t>
            </w:r>
          </w:p>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Not applicable (Observational multi-centre cohort study)</w:t>
            </w:r>
          </w:p>
        </w:tc>
      </w:tr>
      <w:tr w:rsidR="003B3B59" w:rsidRPr="003B3B59" w:rsidTr="001C43B5">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Target Population</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Breast cancer patients, male or female over 16 years old with CNS disease secondary to breast cancer in the UK.</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p>
        </w:tc>
      </w:tr>
      <w:tr w:rsidR="003B3B59" w:rsidRPr="003B3B59" w:rsidTr="001C43B5">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Sample size</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Uncapped (minimum N = 300)</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p>
        </w:tc>
      </w:tr>
      <w:tr w:rsidR="003B3B59" w:rsidRPr="003B3B59" w:rsidTr="001C43B5">
        <w:trPr>
          <w:trHeight w:val="2539"/>
        </w:trPr>
        <w:tc>
          <w:tcPr>
            <w:tcW w:w="3539" w:type="dxa"/>
            <w:shd w:val="clear" w:color="auto" w:fill="FFEFF9"/>
          </w:tcPr>
          <w:p w:rsidR="003B3B59" w:rsidRPr="003B3B59" w:rsidRDefault="003B3B59" w:rsidP="001C43B5">
            <w:pPr>
              <w:tabs>
                <w:tab w:val="left" w:pos="2160"/>
              </w:tabs>
              <w:spacing w:after="0" w:line="360" w:lineRule="auto"/>
              <w:rPr>
                <w:rFonts w:ascii="Arial" w:eastAsia="Times New Roman" w:hAnsi="Arial" w:cs="Times New Roman"/>
                <w:b/>
                <w:sz w:val="24"/>
                <w:szCs w:val="24"/>
              </w:rPr>
            </w:pPr>
            <w:r w:rsidRPr="003B3B59">
              <w:rPr>
                <w:rFonts w:ascii="Arial" w:eastAsia="Times New Roman" w:hAnsi="Arial" w:cs="Times New Roman"/>
                <w:b/>
                <w:sz w:val="24"/>
                <w:szCs w:val="24"/>
              </w:rPr>
              <w:t>Inclusion Criteria</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1. </w:t>
            </w:r>
            <w:r w:rsidRPr="003B3B59">
              <w:rPr>
                <w:rFonts w:ascii="Arial" w:eastAsia="Times New Roman" w:hAnsi="Arial" w:cs="Times New Roman"/>
                <w:bCs/>
                <w:sz w:val="24"/>
                <w:szCs w:val="24"/>
              </w:rPr>
              <w:t>Male or female.</w:t>
            </w:r>
            <w:r w:rsidRPr="003B3B59" w:rsidDel="00D60DDA">
              <w:rPr>
                <w:rFonts w:ascii="Arial" w:eastAsia="Times New Roman" w:hAnsi="Arial" w:cs="Times New Roman"/>
                <w:sz w:val="24"/>
                <w:szCs w:val="24"/>
              </w:rPr>
              <w:t xml:space="preserve"> </w:t>
            </w:r>
          </w:p>
          <w:p w:rsidR="003B3B59" w:rsidRPr="003B3B59" w:rsidRDefault="003B3B59" w:rsidP="001C43B5">
            <w:pPr>
              <w:tabs>
                <w:tab w:val="left" w:pos="2160"/>
              </w:tabs>
              <w:spacing w:after="0" w:line="360" w:lineRule="auto"/>
              <w:ind w:left="2160" w:hanging="2160"/>
              <w:jc w:val="both"/>
              <w:rPr>
                <w:rFonts w:ascii="Arial" w:eastAsia="Times New Roman" w:hAnsi="Arial" w:cs="Times New Roman"/>
                <w:sz w:val="24"/>
                <w:szCs w:val="24"/>
              </w:rPr>
            </w:pPr>
            <w:r w:rsidRPr="003B3B59">
              <w:rPr>
                <w:rFonts w:ascii="Arial" w:eastAsia="Times New Roman" w:hAnsi="Arial" w:cs="Times New Roman"/>
                <w:sz w:val="24"/>
                <w:szCs w:val="24"/>
              </w:rPr>
              <w:t xml:space="preserve">2. </w:t>
            </w:r>
            <w:r w:rsidRPr="003B3B59">
              <w:rPr>
                <w:rFonts w:ascii="Arial" w:eastAsia="Times New Roman" w:hAnsi="Arial" w:cs="Times New Roman"/>
                <w:sz w:val="24"/>
                <w:szCs w:val="24"/>
                <w:u w:val="single"/>
              </w:rPr>
              <w:t>&gt;</w:t>
            </w:r>
            <w:r w:rsidRPr="003B3B59">
              <w:rPr>
                <w:rFonts w:ascii="Arial" w:eastAsia="Times New Roman" w:hAnsi="Arial" w:cs="Times New Roman"/>
                <w:bCs/>
                <w:sz w:val="24"/>
                <w:szCs w:val="24"/>
              </w:rPr>
              <w:t xml:space="preserve">16 years of </w:t>
            </w:r>
            <w:r w:rsidRPr="003B3B59">
              <w:rPr>
                <w:rFonts w:ascii="Arial" w:eastAsia="Times New Roman" w:hAnsi="Arial" w:cs="Times New Roman"/>
                <w:sz w:val="24"/>
                <w:szCs w:val="24"/>
              </w:rPr>
              <w:t>age</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3. Histologically and/or cytologically confirmed breast cancer with Central Nervous System (CNS) involvement as defined as having one or more of the following:</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bCs/>
                <w:sz w:val="24"/>
                <w:szCs w:val="24"/>
              </w:rPr>
              <w:t xml:space="preserve">        a. Metastases to the brain parenchyma</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bCs/>
                <w:sz w:val="24"/>
                <w:szCs w:val="24"/>
              </w:rPr>
              <w:t xml:space="preserve">        b. Metastases to the leptomeninges</w:t>
            </w:r>
          </w:p>
          <w:p w:rsidR="003B3B59" w:rsidRPr="003B3B59" w:rsidRDefault="003B3B59" w:rsidP="001C43B5">
            <w:pPr>
              <w:tabs>
                <w:tab w:val="left" w:pos="34"/>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        c. Paraneoplastic Neurological Disorders</w:t>
            </w:r>
          </w:p>
          <w:p w:rsidR="003B3B59" w:rsidRPr="003B3B59" w:rsidRDefault="003B3B59" w:rsidP="001C43B5">
            <w:pPr>
              <w:tabs>
                <w:tab w:val="left" w:pos="34"/>
              </w:tabs>
              <w:spacing w:after="0" w:line="360" w:lineRule="auto"/>
              <w:jc w:val="both"/>
              <w:rPr>
                <w:rFonts w:ascii="Arial" w:eastAsia="Times New Roman" w:hAnsi="Arial" w:cs="Times New Roman"/>
                <w:sz w:val="24"/>
                <w:szCs w:val="24"/>
              </w:rPr>
            </w:pPr>
          </w:p>
        </w:tc>
      </w:tr>
      <w:tr w:rsidR="003B3B59" w:rsidRPr="003B3B59" w:rsidTr="001C43B5">
        <w:trPr>
          <w:trHeight w:val="839"/>
        </w:trPr>
        <w:tc>
          <w:tcPr>
            <w:tcW w:w="3539" w:type="dxa"/>
            <w:shd w:val="clear" w:color="auto" w:fill="FFEFF9"/>
          </w:tcPr>
          <w:p w:rsidR="003B3B59" w:rsidRPr="003B3B59" w:rsidRDefault="003B3B59" w:rsidP="001C43B5">
            <w:pPr>
              <w:tabs>
                <w:tab w:val="left" w:pos="2160"/>
              </w:tabs>
              <w:spacing w:after="0" w:line="360" w:lineRule="auto"/>
              <w:rPr>
                <w:rFonts w:ascii="Arial" w:eastAsia="Times New Roman" w:hAnsi="Arial" w:cs="Times New Roman"/>
                <w:b/>
                <w:sz w:val="24"/>
                <w:szCs w:val="24"/>
              </w:rPr>
            </w:pPr>
            <w:r w:rsidRPr="003B3B59">
              <w:rPr>
                <w:rFonts w:ascii="Arial" w:eastAsia="Times New Roman" w:hAnsi="Arial" w:cs="Times New Roman"/>
                <w:b/>
                <w:sz w:val="24"/>
                <w:szCs w:val="24"/>
              </w:rPr>
              <w:t>Exclusion Criteria</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No formal exclusion criteria</w:t>
            </w:r>
          </w:p>
        </w:tc>
      </w:tr>
      <w:tr w:rsidR="003B3B59" w:rsidRPr="003B3B59" w:rsidTr="001C43B5">
        <w:trPr>
          <w:trHeight w:val="362"/>
        </w:trPr>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Number of sites</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Open to all NHS centres involved in care of patients with breast cancer</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p>
        </w:tc>
      </w:tr>
      <w:tr w:rsidR="003B3B59" w:rsidRPr="003B3B59" w:rsidTr="001C43B5">
        <w:trPr>
          <w:trHeight w:val="296"/>
        </w:trPr>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Patient Study Duration</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Information will be collected from time of patient registration until death or end of study</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p>
        </w:tc>
      </w:tr>
      <w:tr w:rsidR="003B3B59" w:rsidRPr="003B3B59" w:rsidTr="001C43B5">
        <w:trPr>
          <w:trHeight w:val="296"/>
        </w:trPr>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Study Duration</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2 years</w:t>
            </w:r>
          </w:p>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p>
        </w:tc>
      </w:tr>
      <w:tr w:rsidR="003B3B59" w:rsidRPr="003B3B59" w:rsidTr="001C43B5">
        <w:trPr>
          <w:trHeight w:val="700"/>
        </w:trPr>
        <w:tc>
          <w:tcPr>
            <w:tcW w:w="3539" w:type="dxa"/>
            <w:shd w:val="clear" w:color="auto" w:fill="FFEFF9"/>
          </w:tcPr>
          <w:p w:rsidR="003B3B59" w:rsidRPr="003B3B59" w:rsidRDefault="003B3B59" w:rsidP="001C43B5">
            <w:pPr>
              <w:tabs>
                <w:tab w:val="left" w:pos="2160"/>
              </w:tabs>
              <w:spacing w:after="0" w:line="360" w:lineRule="auto"/>
              <w:rPr>
                <w:rFonts w:ascii="Arial" w:eastAsia="Times New Roman" w:hAnsi="Arial" w:cs="Times New Roman"/>
                <w:b/>
                <w:sz w:val="24"/>
                <w:szCs w:val="24"/>
              </w:rPr>
            </w:pPr>
            <w:r w:rsidRPr="003B3B59">
              <w:rPr>
                <w:rFonts w:ascii="Arial" w:eastAsia="Times New Roman" w:hAnsi="Arial" w:cs="Times New Roman"/>
                <w:b/>
                <w:sz w:val="24"/>
                <w:szCs w:val="24"/>
              </w:rPr>
              <w:lastRenderedPageBreak/>
              <w:t>Description of intervention</w:t>
            </w:r>
          </w:p>
        </w:tc>
        <w:tc>
          <w:tcPr>
            <w:tcW w:w="6946" w:type="dxa"/>
          </w:tcPr>
          <w:p w:rsidR="003B3B59" w:rsidRPr="003B3B59" w:rsidRDefault="003B3B59" w:rsidP="001C43B5">
            <w:pPr>
              <w:tabs>
                <w:tab w:val="left" w:pos="2160"/>
              </w:tabs>
              <w:spacing w:after="0" w:line="360" w:lineRule="auto"/>
              <w:jc w:val="both"/>
              <w:rPr>
                <w:rFonts w:ascii="Arial" w:eastAsia="Times New Roman" w:hAnsi="Arial" w:cs="Times New Roman"/>
                <w:sz w:val="24"/>
                <w:szCs w:val="24"/>
              </w:rPr>
            </w:pPr>
            <w:r w:rsidRPr="003B3B59">
              <w:rPr>
                <w:rFonts w:ascii="Arial" w:eastAsia="Times New Roman" w:hAnsi="Arial" w:cs="Times New Roman"/>
                <w:bCs/>
                <w:sz w:val="24"/>
                <w:szCs w:val="24"/>
              </w:rPr>
              <w:t>None, a</w:t>
            </w:r>
            <w:r w:rsidRPr="003B3B59">
              <w:rPr>
                <w:rFonts w:ascii="Arial" w:eastAsia="Times New Roman" w:hAnsi="Arial" w:cs="Times New Roman"/>
                <w:sz w:val="24"/>
                <w:szCs w:val="24"/>
              </w:rPr>
              <w:t>nonymised collection of rout</w:t>
            </w:r>
            <w:r w:rsidR="000311D8">
              <w:rPr>
                <w:rFonts w:ascii="Arial" w:eastAsia="Times New Roman" w:hAnsi="Arial" w:cs="Times New Roman"/>
                <w:sz w:val="24"/>
                <w:szCs w:val="24"/>
              </w:rPr>
              <w:t>in</w:t>
            </w:r>
            <w:r w:rsidRPr="003B3B59">
              <w:rPr>
                <w:rFonts w:ascii="Arial" w:eastAsia="Times New Roman" w:hAnsi="Arial" w:cs="Times New Roman"/>
                <w:sz w:val="24"/>
                <w:szCs w:val="24"/>
              </w:rPr>
              <w:t>e clinical data</w:t>
            </w:r>
          </w:p>
        </w:tc>
      </w:tr>
      <w:tr w:rsidR="003B3B59" w:rsidRPr="003B3B59" w:rsidTr="001C43B5">
        <w:trPr>
          <w:trHeight w:val="983"/>
        </w:trPr>
        <w:tc>
          <w:tcPr>
            <w:tcW w:w="3539" w:type="dxa"/>
            <w:shd w:val="clear" w:color="auto" w:fill="FFEFF9"/>
          </w:tcPr>
          <w:p w:rsidR="003B3B59" w:rsidRPr="003B3B59" w:rsidRDefault="003B3B59" w:rsidP="001C43B5">
            <w:pPr>
              <w:tabs>
                <w:tab w:val="left" w:pos="2160"/>
              </w:tabs>
              <w:spacing w:after="0" w:line="360" w:lineRule="auto"/>
              <w:jc w:val="both"/>
              <w:rPr>
                <w:rFonts w:ascii="Arial" w:eastAsia="Times New Roman" w:hAnsi="Arial" w:cs="Times New Roman"/>
                <w:b/>
                <w:sz w:val="24"/>
                <w:szCs w:val="24"/>
              </w:rPr>
            </w:pPr>
            <w:r w:rsidRPr="003B3B59">
              <w:rPr>
                <w:rFonts w:ascii="Arial" w:eastAsia="Times New Roman" w:hAnsi="Arial" w:cs="Times New Roman"/>
                <w:b/>
                <w:sz w:val="24"/>
                <w:szCs w:val="24"/>
              </w:rPr>
              <w:t>Objectives</w:t>
            </w:r>
          </w:p>
        </w:tc>
        <w:tc>
          <w:tcPr>
            <w:tcW w:w="6946" w:type="dxa"/>
          </w:tcPr>
          <w:p w:rsidR="003B3B59" w:rsidRPr="003B3B59" w:rsidRDefault="003B3B59" w:rsidP="001C43B5">
            <w:pPr>
              <w:autoSpaceDE w:val="0"/>
              <w:autoSpaceDN w:val="0"/>
              <w:adjustRightInd w:val="0"/>
              <w:spacing w:after="0" w:line="360" w:lineRule="auto"/>
              <w:rPr>
                <w:rFonts w:ascii="Arial" w:eastAsia="Times New Roman" w:hAnsi="Arial" w:cs="Arial"/>
                <w:b/>
                <w:color w:val="000000"/>
                <w:sz w:val="24"/>
                <w:szCs w:val="24"/>
                <w:lang w:eastAsia="en-GB"/>
              </w:rPr>
            </w:pPr>
            <w:r w:rsidRPr="003B3B59">
              <w:rPr>
                <w:rFonts w:ascii="Arial" w:eastAsia="Times New Roman" w:hAnsi="Arial" w:cs="Arial"/>
                <w:b/>
                <w:color w:val="000000"/>
                <w:sz w:val="24"/>
                <w:szCs w:val="24"/>
                <w:lang w:eastAsia="en-GB"/>
              </w:rPr>
              <w:t xml:space="preserve">Primary Objectives </w:t>
            </w:r>
          </w:p>
          <w:p w:rsidR="003B3B59" w:rsidRPr="003B3B59" w:rsidRDefault="003B3B59" w:rsidP="001C43B5">
            <w:pPr>
              <w:numPr>
                <w:ilvl w:val="0"/>
                <w:numId w:val="11"/>
              </w:numPr>
              <w:autoSpaceDE w:val="0"/>
              <w:autoSpaceDN w:val="0"/>
              <w:adjustRightInd w:val="0"/>
              <w:spacing w:after="0" w:line="360" w:lineRule="auto"/>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report the survival of patients diagnosed with CNS involvement secondary to breast cancer.</w:t>
            </w:r>
          </w:p>
          <w:p w:rsidR="003B3B59" w:rsidRPr="003B3B59" w:rsidRDefault="003B3B59" w:rsidP="001C43B5">
            <w:pPr>
              <w:numPr>
                <w:ilvl w:val="0"/>
                <w:numId w:val="11"/>
              </w:numPr>
              <w:spacing w:after="0" w:line="360" w:lineRule="auto"/>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 xml:space="preserve">To describe the current practice in diagnosis, staging and management of CNS involvement secondary to breast cancer in relation to national and international guidelines, including the NICE guidelines for the management of brain metastases in adults (NICE Guidance 99, July 2018), European Association of Neuro-Oncology (NANO 2017)) and the National Comprehensive Cancer Network guidelines (Version 1.2018 Central Nervous System Cancers). </w:t>
            </w:r>
          </w:p>
          <w:p w:rsidR="003B3B59" w:rsidRPr="003B3B59" w:rsidRDefault="003B3B59" w:rsidP="001C43B5">
            <w:pPr>
              <w:autoSpaceDE w:val="0"/>
              <w:autoSpaceDN w:val="0"/>
              <w:adjustRightInd w:val="0"/>
              <w:spacing w:after="0" w:line="360" w:lineRule="auto"/>
              <w:rPr>
                <w:rFonts w:ascii="Arial" w:eastAsia="Times New Roman" w:hAnsi="Arial" w:cs="Arial"/>
                <w:color w:val="000000"/>
                <w:sz w:val="24"/>
                <w:szCs w:val="24"/>
                <w:lang w:eastAsia="en-GB"/>
              </w:rPr>
            </w:pPr>
          </w:p>
          <w:p w:rsidR="003B3B59" w:rsidRPr="003B3B59" w:rsidRDefault="003B3B59" w:rsidP="001C43B5">
            <w:pPr>
              <w:autoSpaceDE w:val="0"/>
              <w:autoSpaceDN w:val="0"/>
              <w:adjustRightInd w:val="0"/>
              <w:spacing w:after="0" w:line="360" w:lineRule="auto"/>
              <w:rPr>
                <w:rFonts w:ascii="Arial" w:eastAsia="Times New Roman" w:hAnsi="Arial" w:cs="Arial"/>
                <w:b/>
                <w:color w:val="000000"/>
                <w:sz w:val="24"/>
                <w:szCs w:val="24"/>
                <w:lang w:eastAsia="en-GB"/>
              </w:rPr>
            </w:pPr>
            <w:r w:rsidRPr="003B3B59">
              <w:rPr>
                <w:rFonts w:ascii="Arial" w:eastAsia="Times New Roman" w:hAnsi="Arial" w:cs="Arial"/>
                <w:b/>
                <w:color w:val="000000"/>
                <w:sz w:val="24"/>
                <w:szCs w:val="24"/>
                <w:lang w:eastAsia="en-GB"/>
              </w:rPr>
              <w:t xml:space="preserve">Secondary Objectives </w:t>
            </w:r>
          </w:p>
          <w:p w:rsidR="003B3B59" w:rsidRPr="003B3B59" w:rsidRDefault="003B3B59" w:rsidP="001C43B5">
            <w:pPr>
              <w:numPr>
                <w:ilvl w:val="0"/>
                <w:numId w:val="11"/>
              </w:numPr>
              <w:autoSpaceDE w:val="0"/>
              <w:autoSpaceDN w:val="0"/>
              <w:adjustRightInd w:val="0"/>
              <w:spacing w:after="0" w:line="360" w:lineRule="auto"/>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define the number of new cases of CNS involvement secondary to breast cancer in the UK per year.</w:t>
            </w:r>
          </w:p>
          <w:p w:rsidR="003B3B59" w:rsidRPr="003F450B" w:rsidRDefault="003B3B59" w:rsidP="001C43B5">
            <w:pPr>
              <w:numPr>
                <w:ilvl w:val="0"/>
                <w:numId w:val="11"/>
              </w:numPr>
              <w:autoSpaceDE w:val="0"/>
              <w:autoSpaceDN w:val="0"/>
              <w:adjustRightInd w:val="0"/>
              <w:spacing w:after="0" w:line="360" w:lineRule="auto"/>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evaluate the outcomes of patients treated for</w:t>
            </w:r>
            <w:r w:rsidRPr="003B3B59">
              <w:rPr>
                <w:rFonts w:ascii="Arial" w:eastAsia="Times New Roman" w:hAnsi="Arial" w:cs="Times New Roman"/>
                <w:sz w:val="24"/>
                <w:szCs w:val="24"/>
              </w:rPr>
              <w:t xml:space="preserve"> </w:t>
            </w:r>
            <w:r w:rsidRPr="003B3B59">
              <w:rPr>
                <w:rFonts w:ascii="Arial" w:eastAsia="Times New Roman" w:hAnsi="Arial" w:cs="Arial"/>
                <w:color w:val="000000"/>
                <w:sz w:val="24"/>
                <w:szCs w:val="24"/>
                <w:lang w:eastAsia="en-GB"/>
              </w:rPr>
              <w:t>CNS involvement secondary to breast cancer in the UK</w:t>
            </w:r>
            <w:r w:rsidR="003F450B">
              <w:rPr>
                <w:rFonts w:ascii="Arial" w:eastAsia="Times New Roman" w:hAnsi="Arial" w:cs="Arial"/>
                <w:color w:val="000000"/>
                <w:sz w:val="24"/>
                <w:szCs w:val="24"/>
                <w:lang w:eastAsia="en-GB"/>
              </w:rPr>
              <w:t>.</w:t>
            </w:r>
          </w:p>
          <w:p w:rsidR="003B3B59" w:rsidRPr="003B3B59" w:rsidRDefault="003B3B59" w:rsidP="001C43B5">
            <w:pPr>
              <w:numPr>
                <w:ilvl w:val="0"/>
                <w:numId w:val="11"/>
              </w:numPr>
              <w:autoSpaceDE w:val="0"/>
              <w:autoSpaceDN w:val="0"/>
              <w:adjustRightInd w:val="0"/>
              <w:spacing w:after="0" w:line="360" w:lineRule="auto"/>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inform and help in the development of potential prospective studies and clinical trials.</w:t>
            </w:r>
          </w:p>
        </w:tc>
      </w:tr>
    </w:tbl>
    <w:p w:rsidR="003B3B59" w:rsidRPr="003B3B59" w:rsidRDefault="003B3B59" w:rsidP="001C43B5">
      <w:pPr>
        <w:keepNext/>
        <w:pageBreakBefore/>
        <w:numPr>
          <w:ilvl w:val="0"/>
          <w:numId w:val="16"/>
        </w:numPr>
        <w:spacing w:after="360" w:line="360" w:lineRule="auto"/>
        <w:ind w:left="567" w:hanging="567"/>
        <w:jc w:val="both"/>
        <w:outlineLvl w:val="0"/>
        <w:rPr>
          <w:rFonts w:ascii="Arial" w:eastAsia="Times New Roman" w:hAnsi="Arial" w:cs="Arial"/>
          <w:b/>
          <w:bCs/>
          <w:sz w:val="32"/>
          <w:szCs w:val="24"/>
        </w:rPr>
      </w:pPr>
      <w:bookmarkStart w:id="28" w:name="_Toc37078607"/>
      <w:bookmarkStart w:id="29" w:name="_Toc37078608"/>
      <w:bookmarkStart w:id="30" w:name="_Toc37078609"/>
      <w:bookmarkStart w:id="31" w:name="_Toc37078610"/>
      <w:bookmarkStart w:id="32" w:name="_Toc32578418"/>
      <w:bookmarkStart w:id="33" w:name="_Toc38877235"/>
      <w:bookmarkStart w:id="34" w:name="_Toc42020744"/>
      <w:bookmarkStart w:id="35" w:name="_Toc42077781"/>
      <w:bookmarkStart w:id="36" w:name="_Toc44574196"/>
      <w:bookmarkEnd w:id="28"/>
      <w:bookmarkEnd w:id="29"/>
      <w:bookmarkEnd w:id="30"/>
      <w:bookmarkEnd w:id="31"/>
      <w:r w:rsidRPr="003B3B59">
        <w:rPr>
          <w:rFonts w:ascii="Arial" w:eastAsia="Times New Roman" w:hAnsi="Arial" w:cs="Arial"/>
          <w:b/>
          <w:bCs/>
          <w:sz w:val="32"/>
          <w:szCs w:val="24"/>
        </w:rPr>
        <w:lastRenderedPageBreak/>
        <w:t>Schematic of Study Design</w:t>
      </w:r>
      <w:bookmarkEnd w:id="32"/>
      <w:bookmarkEnd w:id="33"/>
      <w:bookmarkEnd w:id="34"/>
      <w:bookmarkEnd w:id="35"/>
      <w:bookmarkEnd w:id="36"/>
    </w:p>
    <w:p w:rsidR="003B3B59" w:rsidRPr="003B3B59" w:rsidRDefault="001C43B5" w:rsidP="001C43B5">
      <w:pPr>
        <w:autoSpaceDE w:val="0"/>
        <w:autoSpaceDN w:val="0"/>
        <w:adjustRightInd w:val="0"/>
        <w:spacing w:after="0" w:line="360" w:lineRule="auto"/>
        <w:jc w:val="both"/>
        <w:rPr>
          <w:rFonts w:ascii="Arial" w:eastAsia="Times New Roman" w:hAnsi="Arial" w:cs="Arial"/>
          <w:color w:val="548DD4"/>
          <w:sz w:val="24"/>
          <w:szCs w:val="20"/>
        </w:rPr>
      </w:pPr>
      <w:r>
        <w:rPr>
          <w:rFonts w:ascii="Arial" w:eastAsia="Times New Roman" w:hAnsi="Arial" w:cs="Arial"/>
          <w:noProof/>
          <w:color w:val="548DD4"/>
          <w:sz w:val="24"/>
          <w:szCs w:val="20"/>
        </w:rPr>
        <mc:AlternateContent>
          <mc:Choice Requires="wpg">
            <w:drawing>
              <wp:anchor distT="0" distB="0" distL="114300" distR="114300" simplePos="0" relativeHeight="251661312" behindDoc="0" locked="0" layoutInCell="1" allowOverlap="1">
                <wp:simplePos x="0" y="0"/>
                <wp:positionH relativeFrom="column">
                  <wp:posOffset>31772</wp:posOffset>
                </wp:positionH>
                <wp:positionV relativeFrom="paragraph">
                  <wp:posOffset>156210</wp:posOffset>
                </wp:positionV>
                <wp:extent cx="5365619" cy="6478949"/>
                <wp:effectExtent l="0" t="0" r="26035" b="17145"/>
                <wp:wrapNone/>
                <wp:docPr id="2" name="Group 2"/>
                <wp:cNvGraphicFramePr/>
                <a:graphic xmlns:a="http://schemas.openxmlformats.org/drawingml/2006/main">
                  <a:graphicData uri="http://schemas.microsoft.com/office/word/2010/wordprocessingGroup">
                    <wpg:wgp>
                      <wpg:cNvGrpSpPr/>
                      <wpg:grpSpPr>
                        <a:xfrm>
                          <a:off x="0" y="0"/>
                          <a:ext cx="5365619" cy="6478949"/>
                          <a:chOff x="0" y="0"/>
                          <a:chExt cx="5365619" cy="6478949"/>
                        </a:xfrm>
                      </wpg:grpSpPr>
                      <wpg:grpSp>
                        <wpg:cNvPr id="1" name="Group 1"/>
                        <wpg:cNvGrpSpPr/>
                        <wpg:grpSpPr>
                          <a:xfrm>
                            <a:off x="1481959" y="0"/>
                            <a:ext cx="3883660" cy="6478949"/>
                            <a:chOff x="0" y="0"/>
                            <a:chExt cx="3883660" cy="6478949"/>
                          </a:xfrm>
                        </wpg:grpSpPr>
                        <wpg:grpSp>
                          <wpg:cNvPr id="31" name="Group 31"/>
                          <wpg:cNvGrpSpPr/>
                          <wpg:grpSpPr>
                            <a:xfrm>
                              <a:off x="0" y="0"/>
                              <a:ext cx="3883660" cy="6478949"/>
                              <a:chOff x="1590624" y="0"/>
                              <a:chExt cx="3884171" cy="6479085"/>
                            </a:xfrm>
                          </wpg:grpSpPr>
                          <wps:wsp>
                            <wps:cNvPr id="192" name="Straight Arrow Connector 192"/>
                            <wps:cNvCnPr>
                              <a:stCxn id="194" idx="2"/>
                            </wps:cNvCnPr>
                            <wps:spPr>
                              <a:xfrm flipH="1">
                                <a:off x="3527531" y="1246935"/>
                                <a:ext cx="478" cy="402581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TextBox 3"/>
                            <wps:cNvSpPr txBox="1"/>
                            <wps:spPr>
                              <a:xfrm>
                                <a:off x="1599912" y="1736276"/>
                                <a:ext cx="3874883" cy="2538931"/>
                              </a:xfrm>
                              <a:prstGeom prst="rect">
                                <a:avLst/>
                              </a:prstGeom>
                              <a:solidFill>
                                <a:srgbClr val="FFEFF9"/>
                              </a:solidFill>
                              <a:ln>
                                <a:solidFill>
                                  <a:sysClr val="windowText" lastClr="000000"/>
                                </a:solidFill>
                              </a:ln>
                            </wps:spPr>
                            <wps:txbx>
                              <w:txbxContent>
                                <w:p w:rsidR="001C43B5" w:rsidRPr="003B3B59" w:rsidRDefault="001C43B5" w:rsidP="003B3B59">
                                  <w:pPr>
                                    <w:rPr>
                                      <w:rFonts w:cs="Calibri"/>
                                      <w:sz w:val="24"/>
                                      <w:szCs w:val="32"/>
                                    </w:rPr>
                                  </w:pPr>
                                  <w:r w:rsidRPr="003B3B59">
                                    <w:rPr>
                                      <w:rFonts w:cs="Calibri"/>
                                      <w:b/>
                                      <w:bCs/>
                                      <w:color w:val="000000"/>
                                      <w:kern w:val="24"/>
                                      <w:szCs w:val="32"/>
                                    </w:rPr>
                                    <w:t>Inclusion Criteria for patients to be entered into PRIMROSE Audit:</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1. Male or female</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 xml:space="preserve">2. </w:t>
                                  </w:r>
                                  <w:r w:rsidRPr="003B3B59">
                                    <w:rPr>
                                      <w:rFonts w:cs="Calibri"/>
                                      <w:color w:val="000000"/>
                                      <w:kern w:val="24"/>
                                      <w:szCs w:val="32"/>
                                      <w:u w:val="single"/>
                                    </w:rPr>
                                    <w:t>&gt;</w:t>
                                  </w:r>
                                  <w:r w:rsidRPr="003B3B59">
                                    <w:rPr>
                                      <w:rFonts w:cs="Calibri"/>
                                      <w:color w:val="000000"/>
                                      <w:kern w:val="24"/>
                                      <w:szCs w:val="32"/>
                                    </w:rPr>
                                    <w:t>16 years of age</w:t>
                                  </w:r>
                                </w:p>
                                <w:p w:rsidR="001C43B5" w:rsidRPr="003B3B59" w:rsidRDefault="001C43B5" w:rsidP="003B3B59">
                                  <w:pPr>
                                    <w:tabs>
                                      <w:tab w:val="left" w:pos="1560"/>
                                    </w:tabs>
                                    <w:spacing w:line="273" w:lineRule="auto"/>
                                    <w:ind w:left="284" w:hanging="284"/>
                                    <w:rPr>
                                      <w:rFonts w:cs="Calibri"/>
                                      <w:szCs w:val="32"/>
                                    </w:rPr>
                                  </w:pPr>
                                  <w:r w:rsidRPr="003B3B59">
                                    <w:rPr>
                                      <w:rFonts w:cs="Calibri"/>
                                      <w:color w:val="000000"/>
                                      <w:kern w:val="24"/>
                                      <w:szCs w:val="32"/>
                                    </w:rPr>
                                    <w:t>3. Histologically and/or cytologically confirmed breast cancer with CNS involvement as define as:</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 xml:space="preserve">        a. Metastases to the brain parenchyma</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 xml:space="preserve">        b. Metastases to the leptomeninges</w:t>
                                  </w:r>
                                </w:p>
                                <w:p w:rsidR="001C43B5" w:rsidRPr="003B3B59" w:rsidRDefault="001C43B5" w:rsidP="003B3B59">
                                  <w:pPr>
                                    <w:tabs>
                                      <w:tab w:val="left" w:pos="34"/>
                                      <w:tab w:val="left" w:pos="2160"/>
                                    </w:tabs>
                                    <w:spacing w:line="273" w:lineRule="auto"/>
                                    <w:ind w:left="2160" w:hanging="2160"/>
                                    <w:rPr>
                                      <w:rFonts w:cs="Calibri"/>
                                      <w:szCs w:val="32"/>
                                    </w:rPr>
                                  </w:pPr>
                                  <w:r w:rsidRPr="003B3B59">
                                    <w:rPr>
                                      <w:rFonts w:cs="Calibri"/>
                                      <w:color w:val="000000"/>
                                      <w:kern w:val="24"/>
                                      <w:szCs w:val="32"/>
                                    </w:rPr>
                                    <w:t xml:space="preserve">        c. Paraneoplastic Neurological Disorders</w:t>
                                  </w:r>
                                </w:p>
                              </w:txbxContent>
                            </wps:txbx>
                            <wps:bodyPr wrap="square" rtlCol="0">
                              <a:noAutofit/>
                            </wps:bodyPr>
                          </wps:wsp>
                          <wps:wsp>
                            <wps:cNvPr id="194" name="TextBox 12"/>
                            <wps:cNvSpPr txBox="1"/>
                            <wps:spPr>
                              <a:xfrm>
                                <a:off x="1590624" y="0"/>
                                <a:ext cx="3874770" cy="1246935"/>
                              </a:xfrm>
                              <a:prstGeom prst="rect">
                                <a:avLst/>
                              </a:prstGeom>
                              <a:solidFill>
                                <a:srgbClr val="FFEFF9"/>
                              </a:solidFill>
                              <a:ln>
                                <a:solidFill>
                                  <a:sysClr val="windowText" lastClr="000000"/>
                                </a:solidFill>
                              </a:ln>
                            </wps:spPr>
                            <wps:txbx>
                              <w:txbxContent>
                                <w:p w:rsidR="001C43B5" w:rsidRPr="003B3B59" w:rsidRDefault="001C43B5" w:rsidP="005E7B5C">
                                  <w:pPr>
                                    <w:shd w:val="clear" w:color="auto" w:fill="FFEFF9"/>
                                    <w:rPr>
                                      <w:rFonts w:cs="Calibri"/>
                                      <w:b/>
                                      <w:bCs/>
                                      <w:color w:val="000000"/>
                                      <w:kern w:val="24"/>
                                      <w:szCs w:val="28"/>
                                    </w:rPr>
                                  </w:pPr>
                                  <w:r w:rsidRPr="003B3B59">
                                    <w:rPr>
                                      <w:rFonts w:cs="Calibri"/>
                                      <w:b/>
                                      <w:bCs/>
                                      <w:color w:val="000000"/>
                                      <w:kern w:val="24"/>
                                      <w:szCs w:val="28"/>
                                    </w:rPr>
                                    <w:t xml:space="preserve">Patient Identification: </w:t>
                                  </w:r>
                                </w:p>
                                <w:p w:rsidR="001C43B5" w:rsidRPr="003B3B59" w:rsidRDefault="001C43B5" w:rsidP="005E7B5C">
                                  <w:pPr>
                                    <w:shd w:val="clear" w:color="auto" w:fill="FFEFF9"/>
                                    <w:rPr>
                                      <w:rFonts w:cs="Calibri"/>
                                      <w:color w:val="000000"/>
                                      <w:kern w:val="24"/>
                                      <w:szCs w:val="28"/>
                                    </w:rPr>
                                  </w:pPr>
                                  <w:r>
                                    <w:rPr>
                                      <w:rFonts w:cs="Calibri"/>
                                      <w:color w:val="000000"/>
                                      <w:kern w:val="24"/>
                                      <w:szCs w:val="28"/>
                                    </w:rPr>
                                    <w:t>New or existing p</w:t>
                                  </w:r>
                                  <w:r w:rsidRPr="003B3B59">
                                    <w:rPr>
                                      <w:rFonts w:cs="Calibri"/>
                                      <w:color w:val="000000"/>
                                      <w:kern w:val="24"/>
                                      <w:szCs w:val="28"/>
                                    </w:rPr>
                                    <w:t xml:space="preserve">atients </w:t>
                                  </w:r>
                                  <w:r>
                                    <w:rPr>
                                      <w:rFonts w:cs="Calibri"/>
                                      <w:color w:val="000000"/>
                                      <w:kern w:val="24"/>
                                      <w:szCs w:val="28"/>
                                    </w:rPr>
                                    <w:t xml:space="preserve">(in contact with clinical services) </w:t>
                                  </w:r>
                                  <w:r w:rsidRPr="003B3B59">
                                    <w:rPr>
                                      <w:rFonts w:cs="Calibri"/>
                                      <w:color w:val="000000"/>
                                      <w:kern w:val="24"/>
                                      <w:szCs w:val="28"/>
                                    </w:rPr>
                                    <w:t>with</w:t>
                                  </w:r>
                                  <w:r>
                                    <w:rPr>
                                      <w:rFonts w:cs="Calibri"/>
                                      <w:color w:val="000000"/>
                                      <w:kern w:val="24"/>
                                      <w:szCs w:val="28"/>
                                    </w:rPr>
                                    <w:t xml:space="preserve"> a clinical diagnosis of</w:t>
                                  </w:r>
                                  <w:r w:rsidRPr="003B3B59">
                                    <w:rPr>
                                      <w:rFonts w:cs="Calibri"/>
                                      <w:color w:val="000000"/>
                                      <w:kern w:val="24"/>
                                      <w:szCs w:val="28"/>
                                    </w:rPr>
                                    <w:t xml:space="preserve"> CNS involvement secondary to breast cancer identified by member of medical or nursing staff in inpatient or outpatient settings.</w:t>
                                  </w:r>
                                </w:p>
                                <w:p w:rsidR="001C43B5" w:rsidRPr="003B3B59" w:rsidRDefault="001C43B5" w:rsidP="005E7B5C">
                                  <w:pPr>
                                    <w:shd w:val="clear" w:color="auto" w:fill="FFEFF9"/>
                                    <w:jc w:val="center"/>
                                    <w:rPr>
                                      <w:rFonts w:cs="Calibri"/>
                                      <w:sz w:val="20"/>
                                    </w:rPr>
                                  </w:pPr>
                                </w:p>
                                <w:p w:rsidR="001C43B5" w:rsidRPr="003B3B59" w:rsidRDefault="001C43B5" w:rsidP="005E7B5C">
                                  <w:pPr>
                                    <w:shd w:val="clear" w:color="auto" w:fill="FFEFF9"/>
                                    <w:jc w:val="center"/>
                                    <w:rPr>
                                      <w:rFonts w:cs="Calibri"/>
                                      <w:sz w:val="20"/>
                                    </w:rPr>
                                  </w:pPr>
                                </w:p>
                              </w:txbxContent>
                            </wps:txbx>
                            <wps:bodyPr wrap="square" rtlCol="0">
                              <a:noAutofit/>
                            </wps:bodyPr>
                          </wps:wsp>
                          <wps:wsp>
                            <wps:cNvPr id="195" name="TextBox 16"/>
                            <wps:cNvSpPr txBox="1"/>
                            <wps:spPr>
                              <a:xfrm>
                                <a:off x="1599336" y="5273090"/>
                                <a:ext cx="3874770" cy="1205995"/>
                              </a:xfrm>
                              <a:prstGeom prst="rect">
                                <a:avLst/>
                              </a:prstGeom>
                              <a:solidFill>
                                <a:srgbClr val="FFEFF9"/>
                              </a:solidFill>
                              <a:ln>
                                <a:solidFill>
                                  <a:sysClr val="windowText" lastClr="000000"/>
                                </a:solidFill>
                              </a:ln>
                            </wps:spPr>
                            <wps:txbx>
                              <w:txbxContent>
                                <w:p w:rsidR="001C43B5" w:rsidRPr="003B3B59" w:rsidRDefault="001C43B5" w:rsidP="003B3B59">
                                  <w:pPr>
                                    <w:rPr>
                                      <w:rFonts w:cs="Calibri"/>
                                      <w:b/>
                                      <w:bCs/>
                                      <w:color w:val="000000"/>
                                      <w:kern w:val="24"/>
                                      <w:szCs w:val="28"/>
                                    </w:rPr>
                                  </w:pPr>
                                  <w:r w:rsidRPr="003B3B59">
                                    <w:rPr>
                                      <w:rFonts w:cs="Calibri"/>
                                      <w:b/>
                                      <w:bCs/>
                                      <w:color w:val="000000"/>
                                      <w:kern w:val="24"/>
                                      <w:szCs w:val="28"/>
                                    </w:rPr>
                                    <w:t>Log on to REDCap database to:</w:t>
                                  </w:r>
                                </w:p>
                                <w:p w:rsidR="001C43B5" w:rsidRPr="003B3B59" w:rsidRDefault="001C43B5" w:rsidP="00F17660">
                                  <w:pPr>
                                    <w:pStyle w:val="ListParagraph"/>
                                    <w:numPr>
                                      <w:ilvl w:val="0"/>
                                      <w:numId w:val="17"/>
                                    </w:numPr>
                                    <w:jc w:val="left"/>
                                    <w:rPr>
                                      <w:rFonts w:ascii="Calibri" w:hAnsi="Calibri" w:cs="Calibri"/>
                                      <w:color w:val="000000"/>
                                      <w:kern w:val="24"/>
                                      <w:szCs w:val="28"/>
                                    </w:rPr>
                                  </w:pPr>
                                  <w:r w:rsidRPr="003B3B59">
                                    <w:rPr>
                                      <w:rFonts w:ascii="Calibri" w:hAnsi="Calibri" w:cs="Calibri"/>
                                      <w:color w:val="000000"/>
                                      <w:kern w:val="24"/>
                                      <w:szCs w:val="28"/>
                                    </w:rPr>
                                    <w:t xml:space="preserve">Check for existing record using NHS number </w:t>
                                  </w:r>
                                </w:p>
                                <w:p w:rsidR="001C43B5" w:rsidRPr="003B3B59" w:rsidRDefault="001C43B5" w:rsidP="00F17660">
                                  <w:pPr>
                                    <w:pStyle w:val="ListParagraph"/>
                                    <w:numPr>
                                      <w:ilvl w:val="0"/>
                                      <w:numId w:val="17"/>
                                    </w:numPr>
                                    <w:jc w:val="left"/>
                                    <w:rPr>
                                      <w:rFonts w:ascii="Calibri" w:hAnsi="Calibri" w:cs="Calibri"/>
                                      <w:color w:val="000000"/>
                                      <w:kern w:val="24"/>
                                      <w:szCs w:val="28"/>
                                    </w:rPr>
                                  </w:pPr>
                                  <w:r w:rsidRPr="003B3B59">
                                    <w:rPr>
                                      <w:rFonts w:ascii="Calibri" w:hAnsi="Calibri" w:cs="Calibri"/>
                                      <w:color w:val="000000"/>
                                      <w:kern w:val="24"/>
                                      <w:szCs w:val="28"/>
                                    </w:rPr>
                                    <w:t xml:space="preserve">Assign new anonymised study ID </w:t>
                                  </w:r>
                                </w:p>
                                <w:p w:rsidR="001C43B5" w:rsidRPr="003B3B59" w:rsidRDefault="001C43B5" w:rsidP="00F17660">
                                  <w:pPr>
                                    <w:pStyle w:val="ListParagraph"/>
                                    <w:numPr>
                                      <w:ilvl w:val="0"/>
                                      <w:numId w:val="17"/>
                                    </w:numPr>
                                    <w:jc w:val="left"/>
                                    <w:rPr>
                                      <w:rFonts w:ascii="Calibri" w:hAnsi="Calibri" w:cs="Calibri"/>
                                      <w:color w:val="000000"/>
                                      <w:kern w:val="24"/>
                                      <w:szCs w:val="28"/>
                                    </w:rPr>
                                  </w:pPr>
                                  <w:r w:rsidRPr="003B3B59">
                                    <w:rPr>
                                      <w:rFonts w:ascii="Calibri" w:hAnsi="Calibri" w:cs="Calibri"/>
                                      <w:color w:val="000000"/>
                                      <w:kern w:val="24"/>
                                      <w:szCs w:val="28"/>
                                    </w:rPr>
                                    <w:t>Populate REDCap database using patient notes retrospectively or prospectively after routine clinical visits</w:t>
                                  </w:r>
                                </w:p>
                              </w:txbxContent>
                            </wps:txbx>
                            <wps:bodyPr wrap="square" rtlCol="0">
                              <a:noAutofit/>
                            </wps:bodyPr>
                          </wps:wsp>
                        </wpg:grpSp>
                        <wps:wsp>
                          <wps:cNvPr id="196" name="TextBox 11"/>
                          <wps:cNvSpPr txBox="1"/>
                          <wps:spPr>
                            <a:xfrm>
                              <a:off x="1198179" y="1245476"/>
                              <a:ext cx="1436914" cy="308759"/>
                            </a:xfrm>
                            <a:prstGeom prst="rect">
                              <a:avLst/>
                            </a:prstGeom>
                            <a:solidFill>
                              <a:srgbClr val="FFEFF9"/>
                            </a:solidFill>
                            <a:ln>
                              <a:solidFill>
                                <a:sysClr val="windowText" lastClr="000000"/>
                              </a:solidFill>
                            </a:ln>
                          </wps:spPr>
                          <wps:txbx>
                            <w:txbxContent>
                              <w:p w:rsidR="001C43B5" w:rsidRPr="003B3B59" w:rsidRDefault="001C43B5" w:rsidP="003B3B59">
                                <w:pPr>
                                  <w:rPr>
                                    <w:rFonts w:cs="Calibri"/>
                                    <w:color w:val="000000"/>
                                    <w:kern w:val="24"/>
                                    <w:szCs w:val="28"/>
                                  </w:rPr>
                                </w:pPr>
                                <w:r w:rsidRPr="003B3B59">
                                  <w:rPr>
                                    <w:rFonts w:cs="Calibri"/>
                                    <w:color w:val="000000"/>
                                    <w:kern w:val="24"/>
                                    <w:szCs w:val="28"/>
                                  </w:rPr>
                                  <w:t>Consent not required</w:t>
                                </w:r>
                              </w:p>
                            </w:txbxContent>
                          </wps:txbx>
                          <wps:bodyPr wrap="square" rtlCol="0">
                            <a:noAutofit/>
                          </wps:bodyPr>
                        </wps:wsp>
                      </wpg:grpSp>
                      <wps:wsp>
                        <wps:cNvPr id="217" name="Text Box 2"/>
                        <wps:cNvSpPr txBox="1">
                          <a:spLocks noChangeArrowheads="1"/>
                        </wps:cNvSpPr>
                        <wps:spPr bwMode="auto">
                          <a:xfrm>
                            <a:off x="0" y="5265683"/>
                            <a:ext cx="1477645" cy="1212850"/>
                          </a:xfrm>
                          <a:prstGeom prst="rect">
                            <a:avLst/>
                          </a:prstGeom>
                          <a:solidFill>
                            <a:srgbClr val="FFEFF9"/>
                          </a:solidFill>
                          <a:ln w="9525">
                            <a:solidFill>
                              <a:srgbClr val="000000"/>
                            </a:solidFill>
                            <a:miter lim="800000"/>
                            <a:headEnd/>
                            <a:tailEnd/>
                          </a:ln>
                        </wps:spPr>
                        <wps:txbx>
                          <w:txbxContent>
                            <w:p w:rsidR="001C43B5" w:rsidRPr="003B3B59" w:rsidRDefault="001C43B5" w:rsidP="003B3B59">
                              <w:pPr>
                                <w:rPr>
                                  <w:rFonts w:cs="Calibri"/>
                                </w:rPr>
                              </w:pPr>
                              <w:r w:rsidRPr="003B3B59">
                                <w:rPr>
                                  <w:rFonts w:cs="Calibri"/>
                                  <w:b/>
                                  <w:bCs/>
                                  <w:lang w:eastAsia="en-GB"/>
                                </w:rPr>
                                <w:t>On REDCap:</w:t>
                              </w:r>
                              <w:r w:rsidRPr="003B3B59">
                                <w:rPr>
                                  <w:rFonts w:cs="Calibri"/>
                                  <w:lang w:eastAsia="en-GB"/>
                                </w:rPr>
                                <w:t xml:space="preserve"> NHS ID will only be available to be viewed by relevant clinical staff only to prevent double entry. </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left:0;text-align:left;margin-left:2.5pt;margin-top:12.3pt;width:422.5pt;height:510.15pt;z-index:251661312" coordsize="53656,6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">
                <v:group id="Group 1" o:spid="_x0000_s1027" style="position:absolute;left:14819;width:38837;height:64789" coordsize="38836,6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31" o:spid="_x0000_s1028" style="position:absolute;width:38836;height:64789" coordorigin="15906" coordsize="38841,6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192" o:spid="_x0000_s1029" type="#_x0000_t32" style="position:absolute;left:35275;top:12469;width:5;height:40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v:shape>
                    <v:shapetype id="_x0000_t202" coordsize="21600,21600" o:spt="202" path="m,l,21600r21600,l21600,xe">
                      <v:stroke joinstyle="miter"/>
                      <v:path gradientshapeok="t" o:connecttype="rect"/>
                    </v:shapetype>
                    <v:shape id="TextBox 3" o:spid="_x0000_s1030" type="#_x0000_t202" style="position:absolute;left:15999;top:17362;width:38748;height:2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" fillcolor="#ffeff9" strokecolor="windowText">
                      <v:textbox>
                        <w:txbxContent>
                          <w:p w:rsidR="001C43B5" w:rsidRPr="003B3B59" w:rsidRDefault="001C43B5" w:rsidP="003B3B59">
                            <w:pPr>
                              <w:rPr>
                                <w:rFonts w:cs="Calibri"/>
                                <w:sz w:val="24"/>
                                <w:szCs w:val="32"/>
                              </w:rPr>
                            </w:pPr>
                            <w:r w:rsidRPr="003B3B59">
                              <w:rPr>
                                <w:rFonts w:cs="Calibri"/>
                                <w:b/>
                                <w:bCs/>
                                <w:color w:val="000000"/>
                                <w:kern w:val="24"/>
                                <w:szCs w:val="32"/>
                              </w:rPr>
                              <w:t>Inclusion Criteria for patients to be entered into PRIMROSE Audit:</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1. Male or female</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 xml:space="preserve">2. </w:t>
                            </w:r>
                            <w:r w:rsidRPr="003B3B59">
                              <w:rPr>
                                <w:rFonts w:cs="Calibri"/>
                                <w:color w:val="000000"/>
                                <w:kern w:val="24"/>
                                <w:szCs w:val="32"/>
                                <w:u w:val="single"/>
                              </w:rPr>
                              <w:t>&gt;</w:t>
                            </w:r>
                            <w:r w:rsidRPr="003B3B59">
                              <w:rPr>
                                <w:rFonts w:cs="Calibri"/>
                                <w:color w:val="000000"/>
                                <w:kern w:val="24"/>
                                <w:szCs w:val="32"/>
                              </w:rPr>
                              <w:t>16 years of age</w:t>
                            </w:r>
                          </w:p>
                          <w:p w:rsidR="001C43B5" w:rsidRPr="003B3B59" w:rsidRDefault="001C43B5" w:rsidP="003B3B59">
                            <w:pPr>
                              <w:tabs>
                                <w:tab w:val="left" w:pos="1560"/>
                              </w:tabs>
                              <w:spacing w:line="273" w:lineRule="auto"/>
                              <w:ind w:left="284" w:hanging="284"/>
                              <w:rPr>
                                <w:rFonts w:cs="Calibri"/>
                                <w:szCs w:val="32"/>
                              </w:rPr>
                            </w:pPr>
                            <w:r w:rsidRPr="003B3B59">
                              <w:rPr>
                                <w:rFonts w:cs="Calibri"/>
                                <w:color w:val="000000"/>
                                <w:kern w:val="24"/>
                                <w:szCs w:val="32"/>
                              </w:rPr>
                              <w:t>3. Histologically and/or cytologically confirmed breast cancer with CNS involvement as define as:</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 xml:space="preserve">        a. Metastases to the brain parenchyma</w:t>
                            </w:r>
                          </w:p>
                          <w:p w:rsidR="001C43B5" w:rsidRPr="003B3B59" w:rsidRDefault="001C43B5" w:rsidP="003B3B59">
                            <w:pPr>
                              <w:tabs>
                                <w:tab w:val="left" w:pos="2160"/>
                              </w:tabs>
                              <w:spacing w:line="273" w:lineRule="auto"/>
                              <w:ind w:left="2160" w:hanging="2160"/>
                              <w:rPr>
                                <w:rFonts w:cs="Calibri"/>
                                <w:szCs w:val="32"/>
                              </w:rPr>
                            </w:pPr>
                            <w:r w:rsidRPr="003B3B59">
                              <w:rPr>
                                <w:rFonts w:cs="Calibri"/>
                                <w:color w:val="000000"/>
                                <w:kern w:val="24"/>
                                <w:szCs w:val="32"/>
                              </w:rPr>
                              <w:t xml:space="preserve">        b. Metastases to the leptomeninges</w:t>
                            </w:r>
                          </w:p>
                          <w:p w:rsidR="001C43B5" w:rsidRPr="003B3B59" w:rsidRDefault="001C43B5" w:rsidP="003B3B59">
                            <w:pPr>
                              <w:tabs>
                                <w:tab w:val="left" w:pos="34"/>
                                <w:tab w:val="left" w:pos="2160"/>
                              </w:tabs>
                              <w:spacing w:line="273" w:lineRule="auto"/>
                              <w:ind w:left="2160" w:hanging="2160"/>
                              <w:rPr>
                                <w:rFonts w:cs="Calibri"/>
                                <w:szCs w:val="32"/>
                              </w:rPr>
                            </w:pPr>
                            <w:r w:rsidRPr="003B3B59">
                              <w:rPr>
                                <w:rFonts w:cs="Calibri"/>
                                <w:color w:val="000000"/>
                                <w:kern w:val="24"/>
                                <w:szCs w:val="32"/>
                              </w:rPr>
                              <w:t xml:space="preserve">        c. Paraneoplastic Neurological Disorders</w:t>
                            </w:r>
                          </w:p>
                        </w:txbxContent>
                      </v:textbox>
                    </v:shape>
                    <v:shape id="TextBox 12" o:spid="_x0000_s1031" type="#_x0000_t202" style="position:absolute;left:15906;width:38747;height:1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" fillcolor="#ffeff9" strokecolor="windowText">
                      <v:textbox>
                        <w:txbxContent>
                          <w:p w:rsidR="001C43B5" w:rsidRPr="003B3B59" w:rsidRDefault="001C43B5" w:rsidP="005E7B5C">
                            <w:pPr>
                              <w:shd w:val="clear" w:color="auto" w:fill="FFEFF9"/>
                              <w:rPr>
                                <w:rFonts w:cs="Calibri"/>
                                <w:b/>
                                <w:bCs/>
                                <w:color w:val="000000"/>
                                <w:kern w:val="24"/>
                                <w:szCs w:val="28"/>
                              </w:rPr>
                            </w:pPr>
                            <w:r w:rsidRPr="003B3B59">
                              <w:rPr>
                                <w:rFonts w:cs="Calibri"/>
                                <w:b/>
                                <w:bCs/>
                                <w:color w:val="000000"/>
                                <w:kern w:val="24"/>
                                <w:szCs w:val="28"/>
                              </w:rPr>
                              <w:t xml:space="preserve">Patient Identification: </w:t>
                            </w:r>
                          </w:p>
                          <w:p w:rsidR="001C43B5" w:rsidRPr="003B3B59" w:rsidRDefault="001C43B5" w:rsidP="005E7B5C">
                            <w:pPr>
                              <w:shd w:val="clear" w:color="auto" w:fill="FFEFF9"/>
                              <w:rPr>
                                <w:rFonts w:cs="Calibri"/>
                                <w:color w:val="000000"/>
                                <w:kern w:val="24"/>
                                <w:szCs w:val="28"/>
                              </w:rPr>
                            </w:pPr>
                            <w:r>
                              <w:rPr>
                                <w:rFonts w:cs="Calibri"/>
                                <w:color w:val="000000"/>
                                <w:kern w:val="24"/>
                                <w:szCs w:val="28"/>
                              </w:rPr>
                              <w:t>New or existing p</w:t>
                            </w:r>
                            <w:r w:rsidRPr="003B3B59">
                              <w:rPr>
                                <w:rFonts w:cs="Calibri"/>
                                <w:color w:val="000000"/>
                                <w:kern w:val="24"/>
                                <w:szCs w:val="28"/>
                              </w:rPr>
                              <w:t xml:space="preserve">atients </w:t>
                            </w:r>
                            <w:r>
                              <w:rPr>
                                <w:rFonts w:cs="Calibri"/>
                                <w:color w:val="000000"/>
                                <w:kern w:val="24"/>
                                <w:szCs w:val="28"/>
                              </w:rPr>
                              <w:t xml:space="preserve">(in contact with clinical services) </w:t>
                            </w:r>
                            <w:r w:rsidRPr="003B3B59">
                              <w:rPr>
                                <w:rFonts w:cs="Calibri"/>
                                <w:color w:val="000000"/>
                                <w:kern w:val="24"/>
                                <w:szCs w:val="28"/>
                              </w:rPr>
                              <w:t>with</w:t>
                            </w:r>
                            <w:r>
                              <w:rPr>
                                <w:rFonts w:cs="Calibri"/>
                                <w:color w:val="000000"/>
                                <w:kern w:val="24"/>
                                <w:szCs w:val="28"/>
                              </w:rPr>
                              <w:t xml:space="preserve"> a clinical diagnosis of</w:t>
                            </w:r>
                            <w:r w:rsidRPr="003B3B59">
                              <w:rPr>
                                <w:rFonts w:cs="Calibri"/>
                                <w:color w:val="000000"/>
                                <w:kern w:val="24"/>
                                <w:szCs w:val="28"/>
                              </w:rPr>
                              <w:t xml:space="preserve"> CNS involvement secondary to breast cancer identified by member of medical or nursing staff in inpatient or outpatient settings.</w:t>
                            </w:r>
                          </w:p>
                          <w:p w:rsidR="001C43B5" w:rsidRPr="003B3B59" w:rsidRDefault="001C43B5" w:rsidP="005E7B5C">
                            <w:pPr>
                              <w:shd w:val="clear" w:color="auto" w:fill="FFEFF9"/>
                              <w:jc w:val="center"/>
                              <w:rPr>
                                <w:rFonts w:cs="Calibri"/>
                                <w:sz w:val="20"/>
                              </w:rPr>
                            </w:pPr>
                          </w:p>
                          <w:p w:rsidR="001C43B5" w:rsidRPr="003B3B59" w:rsidRDefault="001C43B5" w:rsidP="005E7B5C">
                            <w:pPr>
                              <w:shd w:val="clear" w:color="auto" w:fill="FFEFF9"/>
                              <w:jc w:val="center"/>
                              <w:rPr>
                                <w:rFonts w:cs="Calibri"/>
                                <w:sz w:val="20"/>
                              </w:rPr>
                            </w:pPr>
                          </w:p>
                        </w:txbxContent>
                      </v:textbox>
                    </v:shape>
                    <v:shape id="TextBox 16" o:spid="_x0000_s1032" type="#_x0000_t202" style="position:absolute;left:15993;top:52730;width:38748;height:1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" fillcolor="#ffeff9" strokecolor="windowText">
                      <v:textbox>
                        <w:txbxContent>
                          <w:p w:rsidR="001C43B5" w:rsidRPr="003B3B59" w:rsidRDefault="001C43B5" w:rsidP="003B3B59">
                            <w:pPr>
                              <w:rPr>
                                <w:rFonts w:cs="Calibri"/>
                                <w:b/>
                                <w:bCs/>
                                <w:color w:val="000000"/>
                                <w:kern w:val="24"/>
                                <w:szCs w:val="28"/>
                              </w:rPr>
                            </w:pPr>
                            <w:r w:rsidRPr="003B3B59">
                              <w:rPr>
                                <w:rFonts w:cs="Calibri"/>
                                <w:b/>
                                <w:bCs/>
                                <w:color w:val="000000"/>
                                <w:kern w:val="24"/>
                                <w:szCs w:val="28"/>
                              </w:rPr>
                              <w:t>Log on to REDCap database to:</w:t>
                            </w:r>
                          </w:p>
                          <w:p w:rsidR="001C43B5" w:rsidRPr="003B3B59" w:rsidRDefault="001C43B5" w:rsidP="00F17660">
                            <w:pPr>
                              <w:pStyle w:val="ListParagraph"/>
                              <w:numPr>
                                <w:ilvl w:val="0"/>
                                <w:numId w:val="17"/>
                              </w:numPr>
                              <w:jc w:val="left"/>
                              <w:rPr>
                                <w:rFonts w:ascii="Calibri" w:hAnsi="Calibri" w:cs="Calibri"/>
                                <w:color w:val="000000"/>
                                <w:kern w:val="24"/>
                                <w:szCs w:val="28"/>
                              </w:rPr>
                            </w:pPr>
                            <w:r w:rsidRPr="003B3B59">
                              <w:rPr>
                                <w:rFonts w:ascii="Calibri" w:hAnsi="Calibri" w:cs="Calibri"/>
                                <w:color w:val="000000"/>
                                <w:kern w:val="24"/>
                                <w:szCs w:val="28"/>
                              </w:rPr>
                              <w:t xml:space="preserve">Check for existing record using NHS number </w:t>
                            </w:r>
                          </w:p>
                          <w:p w:rsidR="001C43B5" w:rsidRPr="003B3B59" w:rsidRDefault="001C43B5" w:rsidP="00F17660">
                            <w:pPr>
                              <w:pStyle w:val="ListParagraph"/>
                              <w:numPr>
                                <w:ilvl w:val="0"/>
                                <w:numId w:val="17"/>
                              </w:numPr>
                              <w:jc w:val="left"/>
                              <w:rPr>
                                <w:rFonts w:ascii="Calibri" w:hAnsi="Calibri" w:cs="Calibri"/>
                                <w:color w:val="000000"/>
                                <w:kern w:val="24"/>
                                <w:szCs w:val="28"/>
                              </w:rPr>
                            </w:pPr>
                            <w:r w:rsidRPr="003B3B59">
                              <w:rPr>
                                <w:rFonts w:ascii="Calibri" w:hAnsi="Calibri" w:cs="Calibri"/>
                                <w:color w:val="000000"/>
                                <w:kern w:val="24"/>
                                <w:szCs w:val="28"/>
                              </w:rPr>
                              <w:t xml:space="preserve">Assign new anonymised study ID </w:t>
                            </w:r>
                          </w:p>
                          <w:p w:rsidR="001C43B5" w:rsidRPr="003B3B59" w:rsidRDefault="001C43B5" w:rsidP="00F17660">
                            <w:pPr>
                              <w:pStyle w:val="ListParagraph"/>
                              <w:numPr>
                                <w:ilvl w:val="0"/>
                                <w:numId w:val="17"/>
                              </w:numPr>
                              <w:jc w:val="left"/>
                              <w:rPr>
                                <w:rFonts w:ascii="Calibri" w:hAnsi="Calibri" w:cs="Calibri"/>
                                <w:color w:val="000000"/>
                                <w:kern w:val="24"/>
                                <w:szCs w:val="28"/>
                              </w:rPr>
                            </w:pPr>
                            <w:r w:rsidRPr="003B3B59">
                              <w:rPr>
                                <w:rFonts w:ascii="Calibri" w:hAnsi="Calibri" w:cs="Calibri"/>
                                <w:color w:val="000000"/>
                                <w:kern w:val="24"/>
                                <w:szCs w:val="28"/>
                              </w:rPr>
                              <w:t>Populate REDCap database using patient notes retrospectively or prospectively after routine clinical visits</w:t>
                            </w:r>
                          </w:p>
                        </w:txbxContent>
                      </v:textbox>
                    </v:shape>
                  </v:group>
                  <v:shape id="TextBox 11" o:spid="_x0000_s1033" type="#_x0000_t202" style="position:absolute;left:11981;top:12454;width:14369;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" fillcolor="#ffeff9" strokecolor="windowText">
                    <v:textbox>
                      <w:txbxContent>
                        <w:p w:rsidR="001C43B5" w:rsidRPr="003B3B59" w:rsidRDefault="001C43B5" w:rsidP="003B3B59">
                          <w:pPr>
                            <w:rPr>
                              <w:rFonts w:cs="Calibri"/>
                              <w:color w:val="000000"/>
                              <w:kern w:val="24"/>
                              <w:szCs w:val="28"/>
                            </w:rPr>
                          </w:pPr>
                          <w:r w:rsidRPr="003B3B59">
                            <w:rPr>
                              <w:rFonts w:cs="Calibri"/>
                              <w:color w:val="000000"/>
                              <w:kern w:val="24"/>
                              <w:szCs w:val="28"/>
                            </w:rPr>
                            <w:t>Consent not required</w:t>
                          </w:r>
                        </w:p>
                      </w:txbxContent>
                    </v:textbox>
                  </v:shape>
                </v:group>
                <v:shape id="Text Box 2" o:spid="_x0000_s1034" type="#_x0000_t202" style="position:absolute;top:52656;width:14776;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" fillcolor="#ffeff9">
                  <v:textbox>
                    <w:txbxContent>
                      <w:p w:rsidR="001C43B5" w:rsidRPr="003B3B59" w:rsidRDefault="001C43B5" w:rsidP="003B3B59">
                        <w:pPr>
                          <w:rPr>
                            <w:rFonts w:cs="Calibri"/>
                          </w:rPr>
                        </w:pPr>
                        <w:r w:rsidRPr="003B3B59">
                          <w:rPr>
                            <w:rFonts w:cs="Calibri"/>
                            <w:b/>
                            <w:bCs/>
                            <w:lang w:eastAsia="en-GB"/>
                          </w:rPr>
                          <w:t>On REDCap:</w:t>
                        </w:r>
                        <w:r w:rsidRPr="003B3B59">
                          <w:rPr>
                            <w:rFonts w:cs="Calibri"/>
                            <w:lang w:eastAsia="en-GB"/>
                          </w:rPr>
                          <w:t xml:space="preserve"> NHS ID will only be available to be viewed by relevant clinical staff only to prevent double entry. </w:t>
                        </w:r>
                      </w:p>
                    </w:txbxContent>
                  </v:textbox>
                </v:shape>
              </v:group>
            </w:pict>
          </mc:Fallback>
        </mc:AlternateContent>
      </w:r>
    </w:p>
    <w:p w:rsidR="003B3B59" w:rsidRPr="003B3B59" w:rsidRDefault="003B3B59" w:rsidP="001C43B5">
      <w:pPr>
        <w:autoSpaceDE w:val="0"/>
        <w:autoSpaceDN w:val="0"/>
        <w:adjustRightInd w:val="0"/>
        <w:spacing w:after="0" w:line="360" w:lineRule="auto"/>
        <w:jc w:val="both"/>
        <w:rPr>
          <w:rFonts w:ascii="Arial" w:eastAsia="Times New Roman" w:hAnsi="Arial" w:cs="Arial"/>
          <w:bCs/>
          <w:color w:val="548DD4"/>
          <w:sz w:val="24"/>
          <w:szCs w:val="20"/>
        </w:rPr>
      </w:pPr>
    </w:p>
    <w:p w:rsidR="003B3B59" w:rsidRPr="003B3B59" w:rsidRDefault="003B3B59" w:rsidP="001C43B5">
      <w:pPr>
        <w:spacing w:after="0" w:line="360" w:lineRule="auto"/>
        <w:jc w:val="both"/>
        <w:rPr>
          <w:rFonts w:ascii="Arial" w:eastAsia="Times New Roman" w:hAnsi="Arial" w:cs="Arial"/>
          <w:sz w:val="20"/>
          <w:szCs w:val="24"/>
        </w:rPr>
      </w:pPr>
      <w:r w:rsidRPr="003B3B59">
        <w:rPr>
          <w:rFonts w:ascii="Arial" w:eastAsia="Times New Roman" w:hAnsi="Arial" w:cs="Arial"/>
          <w:sz w:val="20"/>
          <w:szCs w:val="24"/>
        </w:rPr>
        <w:t xml:space="preserve">             </w:t>
      </w:r>
    </w:p>
    <w:p w:rsidR="003B3B59" w:rsidRPr="003B3B59" w:rsidRDefault="003B3B59" w:rsidP="001C43B5">
      <w:pPr>
        <w:spacing w:after="0" w:line="360" w:lineRule="auto"/>
        <w:jc w:val="both"/>
        <w:rPr>
          <w:rFonts w:ascii="Arial" w:eastAsia="Times New Roman" w:hAnsi="Arial" w:cs="Times New Roman"/>
          <w:sz w:val="24"/>
          <w:szCs w:val="24"/>
        </w:rPr>
      </w:pPr>
      <w:bookmarkStart w:id="37" w:name="_Toc32578419"/>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tabs>
          <w:tab w:val="left" w:pos="1758"/>
        </w:tabs>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ab/>
      </w:r>
    </w:p>
    <w:p w:rsidR="003B3B59" w:rsidRPr="003B3B59" w:rsidRDefault="003B3B59" w:rsidP="001C43B5">
      <w:pPr>
        <w:spacing w:after="0" w:line="360" w:lineRule="auto"/>
        <w:rPr>
          <w:rFonts w:ascii="Arial" w:eastAsia="Times New Roman" w:hAnsi="Arial" w:cs="Times New Roman"/>
          <w:sz w:val="24"/>
          <w:szCs w:val="24"/>
        </w:rPr>
      </w:pPr>
      <w:r w:rsidRPr="003B3B59">
        <w:rPr>
          <w:rFonts w:ascii="Arial" w:eastAsia="Times New Roman" w:hAnsi="Arial" w:cs="Times New Roman"/>
          <w:sz w:val="24"/>
          <w:szCs w:val="24"/>
        </w:rPr>
        <w:br w:type="page"/>
      </w:r>
    </w:p>
    <w:p w:rsidR="003B3B59" w:rsidRPr="003B3B59" w:rsidRDefault="003B3B59" w:rsidP="001C43B5">
      <w:pPr>
        <w:keepNext/>
        <w:pageBreakBefore/>
        <w:numPr>
          <w:ilvl w:val="0"/>
          <w:numId w:val="9"/>
        </w:numPr>
        <w:spacing w:after="360" w:line="360" w:lineRule="auto"/>
        <w:ind w:left="567" w:hanging="567"/>
        <w:jc w:val="both"/>
        <w:outlineLvl w:val="0"/>
        <w:rPr>
          <w:rFonts w:ascii="Arial" w:eastAsia="Times New Roman" w:hAnsi="Arial" w:cs="Arial"/>
          <w:b/>
          <w:bCs/>
          <w:sz w:val="32"/>
          <w:szCs w:val="24"/>
        </w:rPr>
      </w:pPr>
      <w:bookmarkStart w:id="38" w:name="_Toc37078612"/>
      <w:bookmarkStart w:id="39" w:name="_Toc37078613"/>
      <w:bookmarkStart w:id="40" w:name="_Toc38877236"/>
      <w:bookmarkStart w:id="41" w:name="_Toc42020745"/>
      <w:bookmarkStart w:id="42" w:name="_Toc42077782"/>
      <w:bookmarkStart w:id="43" w:name="_Toc44574197"/>
      <w:bookmarkEnd w:id="38"/>
      <w:bookmarkEnd w:id="39"/>
      <w:r w:rsidRPr="003B3B59">
        <w:rPr>
          <w:rFonts w:ascii="Arial" w:eastAsia="Times New Roman" w:hAnsi="Arial" w:cs="Arial"/>
          <w:b/>
          <w:bCs/>
          <w:sz w:val="32"/>
          <w:szCs w:val="24"/>
        </w:rPr>
        <w:lastRenderedPageBreak/>
        <w:t>Roles and Responsibilities</w:t>
      </w:r>
      <w:bookmarkEnd w:id="37"/>
      <w:bookmarkEnd w:id="40"/>
      <w:bookmarkEnd w:id="41"/>
      <w:bookmarkEnd w:id="42"/>
      <w:bookmarkEnd w:id="43"/>
    </w:p>
    <w:p w:rsidR="003B3B59" w:rsidRPr="003B3B59" w:rsidRDefault="003B3B59" w:rsidP="001C43B5">
      <w:pPr>
        <w:keepNext/>
        <w:keepLines/>
        <w:spacing w:before="200" w:after="120" w:line="360" w:lineRule="auto"/>
        <w:ind w:left="576" w:hanging="576"/>
        <w:jc w:val="both"/>
        <w:outlineLvl w:val="1"/>
        <w:rPr>
          <w:rFonts w:ascii="Arial" w:eastAsia="Times New Roman" w:hAnsi="Arial" w:cs="Times New Roman"/>
          <w:b/>
          <w:bCs/>
          <w:sz w:val="26"/>
          <w:szCs w:val="20"/>
        </w:rPr>
      </w:pPr>
      <w:r w:rsidRPr="003B3B59">
        <w:rPr>
          <w:rFonts w:ascii="Arial" w:eastAsia="Times New Roman" w:hAnsi="Arial" w:cs="Times New Roman"/>
          <w:b/>
          <w:bCs/>
          <w:sz w:val="26"/>
          <w:szCs w:val="20"/>
        </w:rPr>
        <w:t>Sponsor</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The Sponsor is the University of Liverpool and is legally responsible for the study. They will formally delegate specific sponsoring roles to the Chief Investigator and Clinical Trials Unit.</w:t>
      </w:r>
    </w:p>
    <w:p w:rsidR="003B3B59" w:rsidRPr="003B3B59" w:rsidRDefault="003B3B59" w:rsidP="001C43B5">
      <w:pPr>
        <w:keepNext/>
        <w:keepLines/>
        <w:spacing w:before="200" w:after="120" w:line="360" w:lineRule="auto"/>
        <w:ind w:left="576" w:hanging="576"/>
        <w:jc w:val="both"/>
        <w:outlineLvl w:val="1"/>
        <w:rPr>
          <w:rFonts w:ascii="Arial" w:eastAsia="Times New Roman" w:hAnsi="Arial" w:cs="Times New Roman"/>
          <w:b/>
          <w:bCs/>
          <w:sz w:val="26"/>
          <w:szCs w:val="20"/>
        </w:rPr>
      </w:pPr>
      <w:r w:rsidRPr="003B3B59">
        <w:rPr>
          <w:rFonts w:ascii="Arial" w:eastAsia="Times New Roman" w:hAnsi="Arial" w:cs="Times New Roman"/>
          <w:b/>
          <w:bCs/>
          <w:sz w:val="26"/>
          <w:szCs w:val="20"/>
        </w:rPr>
        <w:t>Chief Investigator</w:t>
      </w:r>
    </w:p>
    <w:p w:rsidR="003B3B59" w:rsidRPr="003B3B59" w:rsidRDefault="003B3B59" w:rsidP="001C43B5">
      <w:pPr>
        <w:spacing w:after="0" w:line="360" w:lineRule="auto"/>
        <w:jc w:val="both"/>
        <w:rPr>
          <w:rFonts w:ascii="Arial" w:eastAsia="Times New Roman" w:hAnsi="Arial" w:cs="Arial"/>
          <w:sz w:val="24"/>
          <w:szCs w:val="28"/>
        </w:rPr>
      </w:pPr>
      <w:r w:rsidRPr="003B3B59">
        <w:rPr>
          <w:rFonts w:ascii="Arial" w:eastAsia="Times New Roman" w:hAnsi="Arial" w:cs="Arial"/>
          <w:sz w:val="24"/>
          <w:szCs w:val="28"/>
        </w:rPr>
        <w:t>Professor Carlo Palmieri is the Chief Investigator for the study and is responsible for overall design and conduct of the study in collaboration with other members of the study team.</w:t>
      </w:r>
    </w:p>
    <w:p w:rsidR="003B3B59" w:rsidRPr="003B3B59" w:rsidRDefault="003B3B59" w:rsidP="001C43B5">
      <w:pPr>
        <w:keepNext/>
        <w:keepLines/>
        <w:spacing w:before="200" w:after="120" w:line="360" w:lineRule="auto"/>
        <w:ind w:left="576" w:hanging="576"/>
        <w:jc w:val="both"/>
        <w:outlineLvl w:val="1"/>
        <w:rPr>
          <w:rFonts w:ascii="Arial" w:eastAsia="Times New Roman" w:hAnsi="Arial" w:cs="Times New Roman"/>
          <w:b/>
          <w:bCs/>
          <w:sz w:val="26"/>
          <w:szCs w:val="20"/>
        </w:rPr>
      </w:pPr>
      <w:r w:rsidRPr="003B3B59">
        <w:rPr>
          <w:rFonts w:ascii="Arial" w:eastAsia="Times New Roman" w:hAnsi="Arial" w:cs="Times New Roman"/>
          <w:b/>
          <w:bCs/>
          <w:sz w:val="26"/>
          <w:szCs w:val="20"/>
        </w:rPr>
        <w:t xml:space="preserve">Principal Investigators </w:t>
      </w:r>
    </w:p>
    <w:p w:rsidR="003B3B59" w:rsidRPr="003B3B59" w:rsidRDefault="003B3B59" w:rsidP="001C43B5">
      <w:pPr>
        <w:spacing w:after="0" w:line="360" w:lineRule="auto"/>
        <w:jc w:val="both"/>
        <w:rPr>
          <w:rFonts w:ascii="Arial" w:eastAsia="Times New Roman" w:hAnsi="Arial" w:cs="Arial"/>
          <w:sz w:val="24"/>
          <w:szCs w:val="28"/>
        </w:rPr>
      </w:pPr>
      <w:r w:rsidRPr="003B3B59">
        <w:rPr>
          <w:rFonts w:ascii="Arial" w:eastAsia="Times New Roman" w:hAnsi="Arial" w:cs="Arial"/>
          <w:sz w:val="24"/>
          <w:szCs w:val="28"/>
        </w:rPr>
        <w:t>In each participating centre a principal investigator – or a regional lead / breast cancer trainee – will be identified to be responsible for identification, recruitment, data collection and completion of CRFs, along with follow up of study patients and adherence to study protocol at site. They will also be responsible for safety reporting and processing any applicable safety information.</w:t>
      </w:r>
    </w:p>
    <w:p w:rsidR="003B3B59" w:rsidRPr="003B3B59" w:rsidRDefault="003B3B59" w:rsidP="001C43B5">
      <w:pPr>
        <w:keepNext/>
        <w:keepLines/>
        <w:spacing w:before="200" w:after="120" w:line="360" w:lineRule="auto"/>
        <w:ind w:left="576" w:hanging="576"/>
        <w:jc w:val="both"/>
        <w:outlineLvl w:val="1"/>
        <w:rPr>
          <w:rFonts w:ascii="Arial" w:eastAsia="Times New Roman" w:hAnsi="Arial" w:cs="Times New Roman"/>
          <w:b/>
          <w:bCs/>
          <w:sz w:val="26"/>
          <w:szCs w:val="20"/>
        </w:rPr>
      </w:pPr>
      <w:r w:rsidRPr="003B3B59">
        <w:rPr>
          <w:rFonts w:ascii="Arial" w:eastAsia="Times New Roman" w:hAnsi="Arial" w:cs="Times New Roman"/>
          <w:b/>
          <w:bCs/>
          <w:sz w:val="26"/>
          <w:szCs w:val="20"/>
        </w:rPr>
        <w:t>Clinical Trials Centre</w:t>
      </w:r>
    </w:p>
    <w:p w:rsidR="003B3B59" w:rsidRPr="003B3B59" w:rsidRDefault="003B3B59" w:rsidP="001C43B5">
      <w:pPr>
        <w:spacing w:after="0" w:line="360" w:lineRule="auto"/>
        <w:jc w:val="both"/>
        <w:rPr>
          <w:rFonts w:ascii="Arial" w:eastAsia="Times New Roman" w:hAnsi="Arial" w:cs="Arial"/>
          <w:sz w:val="24"/>
          <w:szCs w:val="28"/>
        </w:rPr>
      </w:pPr>
      <w:r w:rsidRPr="003B3B59">
        <w:rPr>
          <w:rFonts w:ascii="Arial" w:eastAsia="Times New Roman" w:hAnsi="Arial" w:cs="Arial"/>
          <w:sz w:val="24"/>
          <w:szCs w:val="28"/>
        </w:rPr>
        <w:t xml:space="preserve">The Liverpool Clinical Trials Centre at the University of Liverpool in collaboration with the Chief Investigator, will have overall management responsibility and will be responsible for study management activities including (but not limited to) study planning, budget administration, </w:t>
      </w:r>
      <w:r w:rsidR="00CC7199">
        <w:rPr>
          <w:rFonts w:ascii="Arial" w:eastAsia="Times New Roman" w:hAnsi="Arial" w:cs="Arial"/>
          <w:sz w:val="24"/>
          <w:szCs w:val="28"/>
        </w:rPr>
        <w:t>Audit</w:t>
      </w:r>
      <w:r w:rsidRPr="003B3B59">
        <w:rPr>
          <w:rFonts w:ascii="Arial" w:eastAsia="Times New Roman" w:hAnsi="Arial" w:cs="Arial"/>
          <w:sz w:val="24"/>
          <w:szCs w:val="28"/>
        </w:rPr>
        <w:t xml:space="preserve"> Master File management, data management, statistical analysis and participating site coordination. </w:t>
      </w:r>
    </w:p>
    <w:p w:rsidR="003B3B59" w:rsidRPr="003B3B59" w:rsidRDefault="003B3B59" w:rsidP="001C43B5">
      <w:pPr>
        <w:keepNext/>
        <w:keepLines/>
        <w:spacing w:before="200" w:after="120" w:line="360" w:lineRule="auto"/>
        <w:jc w:val="both"/>
        <w:outlineLvl w:val="1"/>
        <w:rPr>
          <w:rFonts w:ascii="Arial" w:eastAsia="Times New Roman" w:hAnsi="Arial" w:cs="Times New Roman"/>
          <w:b/>
          <w:bCs/>
          <w:sz w:val="26"/>
          <w:szCs w:val="20"/>
        </w:rPr>
      </w:pPr>
      <w:r w:rsidRPr="003B3B59">
        <w:rPr>
          <w:rFonts w:ascii="Arial" w:eastAsia="Times New Roman" w:hAnsi="Arial" w:cs="Times New Roman"/>
          <w:b/>
          <w:bCs/>
          <w:sz w:val="26"/>
          <w:szCs w:val="20"/>
        </w:rPr>
        <w:t>Funder</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This study is funded by Daiichi Sankyo Europe GmBH.</w:t>
      </w:r>
    </w:p>
    <w:p w:rsidR="003B3B59" w:rsidRPr="003B3B59" w:rsidRDefault="003B3B59" w:rsidP="001C43B5">
      <w:pPr>
        <w:spacing w:after="0" w:line="360" w:lineRule="auto"/>
        <w:jc w:val="both"/>
        <w:rPr>
          <w:rFonts w:ascii="Arial" w:eastAsia="Times New Roman" w:hAnsi="Arial" w:cs="Arial"/>
          <w:b/>
          <w:sz w:val="24"/>
          <w:szCs w:val="28"/>
        </w:rPr>
      </w:pPr>
    </w:p>
    <w:p w:rsidR="003B3B59" w:rsidRPr="003B3B59" w:rsidRDefault="003B3B59" w:rsidP="001C43B5">
      <w:pPr>
        <w:spacing w:after="0" w:line="360" w:lineRule="auto"/>
        <w:jc w:val="both"/>
        <w:rPr>
          <w:rFonts w:ascii="Arial" w:eastAsia="Times New Roman" w:hAnsi="Arial" w:cs="Times New Roman"/>
          <w:sz w:val="24"/>
          <w:szCs w:val="28"/>
        </w:rPr>
      </w:pPr>
    </w:p>
    <w:p w:rsidR="003B3B59" w:rsidRPr="003B3B59" w:rsidRDefault="003B3B59" w:rsidP="001C43B5">
      <w:pPr>
        <w:spacing w:after="0" w:line="360" w:lineRule="auto"/>
        <w:rPr>
          <w:rFonts w:ascii="Arial" w:eastAsia="Times New Roman" w:hAnsi="Arial" w:cs="Times New Roman"/>
          <w:b/>
          <w:bCs/>
          <w:sz w:val="26"/>
          <w:szCs w:val="20"/>
        </w:rPr>
      </w:pPr>
      <w:r w:rsidRPr="003B3B59">
        <w:rPr>
          <w:rFonts w:ascii="Arial" w:eastAsia="Times New Roman" w:hAnsi="Arial" w:cs="Times New Roman"/>
          <w:sz w:val="24"/>
          <w:szCs w:val="24"/>
        </w:rPr>
        <w:br w:type="page"/>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lastRenderedPageBreak/>
        <w:t>4.1 Oversight Committees</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The PRIMROSE Audit is subject to oversight from the following committees:</w:t>
      </w:r>
    </w:p>
    <w:p w:rsidR="003B3B59" w:rsidRPr="003B3B59" w:rsidRDefault="003B3B59" w:rsidP="001C43B5">
      <w:pPr>
        <w:spacing w:after="0" w:line="360" w:lineRule="auto"/>
        <w:jc w:val="both"/>
        <w:rPr>
          <w:rFonts w:ascii="Arial" w:eastAsia="Times New Roman" w:hAnsi="Arial" w:cs="Times New Roman"/>
          <w:sz w:val="24"/>
          <w:szCs w:val="28"/>
        </w:rPr>
      </w:pPr>
    </w:p>
    <w:p w:rsidR="003B3B59" w:rsidRPr="003B3B59" w:rsidRDefault="003B3B59" w:rsidP="001C43B5">
      <w:pPr>
        <w:spacing w:after="0" w:line="360" w:lineRule="auto"/>
        <w:jc w:val="both"/>
        <w:rPr>
          <w:rFonts w:ascii="Arial" w:eastAsia="Times New Roman" w:hAnsi="Arial" w:cs="Arial"/>
          <w:sz w:val="24"/>
          <w:szCs w:val="28"/>
        </w:rPr>
      </w:pPr>
      <w:r w:rsidRPr="003B3B59">
        <w:rPr>
          <w:rFonts w:ascii="Arial" w:eastAsia="Times New Roman" w:hAnsi="Arial" w:cs="Arial"/>
          <w:b/>
          <w:sz w:val="24"/>
          <w:szCs w:val="28"/>
        </w:rPr>
        <w:t xml:space="preserve">Trial Management Group (TMG) </w:t>
      </w: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rPr>
        <w:t xml:space="preserve">A Trial Management Group (TMG) </w:t>
      </w:r>
      <w:r w:rsidR="00223A35">
        <w:rPr>
          <w:rFonts w:ascii="Arial" w:eastAsia="Times New Roman" w:hAnsi="Arial" w:cs="Arial"/>
          <w:sz w:val="24"/>
        </w:rPr>
        <w:t xml:space="preserve">for this audit study </w:t>
      </w:r>
      <w:r w:rsidRPr="003B3B59">
        <w:rPr>
          <w:rFonts w:ascii="Arial" w:eastAsia="Times New Roman" w:hAnsi="Arial" w:cs="Arial"/>
          <w:sz w:val="24"/>
        </w:rPr>
        <w:t xml:space="preserve">will be formed comprising the Chief Investigator, other lead investigators (clinical and non-clinical) and members of the LCTC. The TMG are responsible for monitoring all aspects of the progress and conduct of the audit and will be responsible for the day-to-day running and management of the audit. The TMG will meet at least monthly at setup stage and then reduce to quarterly throughout the year unless more frequent meetings are required. Additionally, the group will work with research nurses and members of the Breast Cancer Clinical Trainees Research Collaborative Group to </w:t>
      </w:r>
    </w:p>
    <w:p w:rsidR="003B3B59" w:rsidRPr="003B3B59" w:rsidRDefault="003B3B59" w:rsidP="001C43B5">
      <w:pPr>
        <w:numPr>
          <w:ilvl w:val="0"/>
          <w:numId w:val="8"/>
        </w:num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Build the clinical network to maximise recruitment opportunities</w:t>
      </w:r>
    </w:p>
    <w:p w:rsidR="003B3B59" w:rsidRPr="003B3B59" w:rsidRDefault="003B3B59" w:rsidP="001C43B5">
      <w:pPr>
        <w:numPr>
          <w:ilvl w:val="0"/>
          <w:numId w:val="8"/>
        </w:num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Ensure consistent identification and registration of eligible patients to the study </w:t>
      </w:r>
    </w:p>
    <w:p w:rsidR="003B3B59" w:rsidRPr="003B3B59" w:rsidRDefault="003B3B59" w:rsidP="001C43B5">
      <w:pPr>
        <w:numPr>
          <w:ilvl w:val="0"/>
          <w:numId w:val="8"/>
        </w:numPr>
        <w:spacing w:after="0" w:line="360" w:lineRule="auto"/>
        <w:jc w:val="both"/>
        <w:rPr>
          <w:rFonts w:ascii="Arial" w:eastAsia="Times New Roman" w:hAnsi="Arial" w:cs="Times New Roman"/>
          <w:sz w:val="24"/>
        </w:rPr>
      </w:pPr>
      <w:r w:rsidRPr="003B3B59">
        <w:rPr>
          <w:rFonts w:ascii="Arial" w:eastAsia="Times New Roman" w:hAnsi="Arial" w:cs="Arial"/>
          <w:sz w:val="24"/>
          <w:szCs w:val="24"/>
        </w:rPr>
        <w:t>Increase the study’s exposure to trainees at all UK cancer and neurological units and centres.</w:t>
      </w:r>
    </w:p>
    <w:p w:rsidR="003B3B59" w:rsidRPr="003B3B59" w:rsidRDefault="003B3B59" w:rsidP="001C43B5">
      <w:pPr>
        <w:spacing w:after="0" w:line="360" w:lineRule="auto"/>
        <w:jc w:val="both"/>
        <w:rPr>
          <w:rFonts w:ascii="Arial" w:eastAsia="Times New Roman" w:hAnsi="Arial" w:cs="Arial"/>
          <w:sz w:val="24"/>
        </w:rPr>
      </w:pP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b/>
          <w:sz w:val="24"/>
          <w:szCs w:val="28"/>
        </w:rPr>
        <w:t>Trial Steering Committee (TSC)</w:t>
      </w: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rPr>
        <w:t>The Trial Steering Committee</w:t>
      </w:r>
      <w:r w:rsidR="00223A35">
        <w:rPr>
          <w:rFonts w:ascii="Arial" w:eastAsia="Times New Roman" w:hAnsi="Arial" w:cs="Arial"/>
          <w:sz w:val="24"/>
        </w:rPr>
        <w:t xml:space="preserve"> for this audit study</w:t>
      </w:r>
      <w:r w:rsidRPr="003B3B59">
        <w:rPr>
          <w:rFonts w:ascii="Arial" w:eastAsia="Times New Roman" w:hAnsi="Arial" w:cs="Arial"/>
          <w:sz w:val="24"/>
        </w:rPr>
        <w:t xml:space="preserve"> will consist of an independent chairperson (i.e. the individual will not be involved in the development </w:t>
      </w:r>
      <w:r w:rsidRPr="003B3B59">
        <w:rPr>
          <w:rFonts w:ascii="Arial" w:eastAsia="Times New Roman" w:hAnsi="Arial" w:cs="Arial"/>
          <w:sz w:val="24"/>
          <w:szCs w:val="24"/>
        </w:rPr>
        <w:t xml:space="preserve">of the audit and the hospital they work will not open as a site), independent experts in the field of </w:t>
      </w:r>
      <w:r w:rsidRPr="003B3B59">
        <w:rPr>
          <w:rFonts w:ascii="Arial" w:eastAsia="Times New Roman" w:hAnsi="Arial" w:cs="Times New Roman"/>
          <w:sz w:val="24"/>
          <w:szCs w:val="24"/>
        </w:rPr>
        <w:t>CNS involvement secondary to breast cancer</w:t>
      </w:r>
      <w:r w:rsidRPr="003B3B59">
        <w:rPr>
          <w:rFonts w:ascii="Arial" w:eastAsia="Times New Roman" w:hAnsi="Arial" w:cs="Arial"/>
          <w:sz w:val="24"/>
          <w:szCs w:val="24"/>
        </w:rPr>
        <w:t>, independent statistician, and non-independent members including the CI, TC and observers. The role of the TSC is to provide overall supervision for the progress of the</w:t>
      </w:r>
      <w:r w:rsidRPr="003B3B59">
        <w:rPr>
          <w:rFonts w:ascii="Arial" w:eastAsia="Times New Roman" w:hAnsi="Arial" w:cs="Arial"/>
          <w:sz w:val="24"/>
        </w:rPr>
        <w:t xml:space="preserve"> audit data collection and provide advice through its independent Chairman. The decision for the continuation of the audit lies with the TSC and as such they will meet throughout the audit (at least annually). </w:t>
      </w:r>
    </w:p>
    <w:p w:rsidR="003B3B59" w:rsidRPr="003B3B59" w:rsidRDefault="003B3B59" w:rsidP="001C43B5">
      <w:pPr>
        <w:spacing w:after="0" w:line="360" w:lineRule="auto"/>
        <w:jc w:val="both"/>
        <w:rPr>
          <w:rFonts w:ascii="Arial" w:eastAsia="Times New Roman" w:hAnsi="Arial" w:cs="Arial"/>
          <w:b/>
          <w:sz w:val="24"/>
          <w:highlight w:val="yellow"/>
        </w:rPr>
      </w:pP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bookmarkStart w:id="44" w:name="_Toc32578422"/>
      <w:r w:rsidRPr="003B3B59">
        <w:rPr>
          <w:rFonts w:ascii="Arial" w:eastAsia="Times New Roman" w:hAnsi="Arial" w:cs="Times New Roman"/>
          <w:b/>
          <w:bCs/>
          <w:color w:val="000000"/>
          <w:sz w:val="28"/>
          <w:szCs w:val="21"/>
        </w:rPr>
        <w:t>4.2 Protocol Contributors</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25"/>
        <w:gridCol w:w="3556"/>
      </w:tblGrid>
      <w:tr w:rsidR="003B3B59" w:rsidRPr="003B3B59" w:rsidTr="005F5A6F">
        <w:tc>
          <w:tcPr>
            <w:tcW w:w="3325" w:type="dxa"/>
            <w:shd w:val="clear" w:color="auto" w:fill="FFEFF9"/>
          </w:tcPr>
          <w:p w:rsidR="003B3B59" w:rsidRPr="003B3B59" w:rsidRDefault="003B3B59" w:rsidP="005F5A6F">
            <w:pPr>
              <w:spacing w:before="240" w:after="0" w:line="360" w:lineRule="auto"/>
              <w:rPr>
                <w:rFonts w:ascii="Arial" w:eastAsia="Times New Roman" w:hAnsi="Arial" w:cs="Arial"/>
                <w:b/>
                <w:bCs/>
                <w:sz w:val="24"/>
                <w:szCs w:val="24"/>
              </w:rPr>
            </w:pPr>
            <w:r w:rsidRPr="003B3B59">
              <w:rPr>
                <w:rFonts w:ascii="Arial" w:eastAsia="Times New Roman" w:hAnsi="Arial" w:cs="Arial"/>
                <w:b/>
                <w:bCs/>
                <w:sz w:val="24"/>
                <w:szCs w:val="24"/>
              </w:rPr>
              <w:t>Name</w:t>
            </w:r>
          </w:p>
        </w:tc>
        <w:tc>
          <w:tcPr>
            <w:tcW w:w="3325" w:type="dxa"/>
            <w:shd w:val="clear" w:color="auto" w:fill="FFEFF9"/>
            <w:vAlign w:val="center"/>
          </w:tcPr>
          <w:p w:rsidR="003B3B59" w:rsidRPr="003B3B59" w:rsidRDefault="003B3B59" w:rsidP="005F5A6F">
            <w:pPr>
              <w:spacing w:before="240" w:after="240" w:line="360" w:lineRule="auto"/>
              <w:jc w:val="center"/>
              <w:rPr>
                <w:rFonts w:ascii="Arial" w:eastAsia="Times New Roman" w:hAnsi="Arial" w:cs="Arial"/>
                <w:b/>
                <w:bCs/>
                <w:sz w:val="24"/>
                <w:szCs w:val="24"/>
              </w:rPr>
            </w:pPr>
            <w:r w:rsidRPr="003B3B59">
              <w:rPr>
                <w:rFonts w:ascii="Arial" w:eastAsia="Times New Roman" w:hAnsi="Arial" w:cs="Arial"/>
                <w:b/>
                <w:bCs/>
                <w:sz w:val="24"/>
                <w:szCs w:val="24"/>
              </w:rPr>
              <w:t>Affiliations</w:t>
            </w:r>
          </w:p>
        </w:tc>
        <w:tc>
          <w:tcPr>
            <w:tcW w:w="3556" w:type="dxa"/>
            <w:shd w:val="clear" w:color="auto" w:fill="FFEFF9"/>
            <w:vAlign w:val="center"/>
          </w:tcPr>
          <w:p w:rsidR="003B3B59" w:rsidRPr="003B3B59" w:rsidRDefault="003B3B59" w:rsidP="005F5A6F">
            <w:pPr>
              <w:spacing w:before="240" w:after="240" w:line="360" w:lineRule="auto"/>
              <w:jc w:val="center"/>
              <w:rPr>
                <w:rFonts w:ascii="Arial" w:eastAsia="Times New Roman" w:hAnsi="Arial" w:cs="Arial"/>
                <w:b/>
                <w:bCs/>
                <w:sz w:val="24"/>
                <w:szCs w:val="24"/>
              </w:rPr>
            </w:pPr>
            <w:r w:rsidRPr="003B3B59">
              <w:rPr>
                <w:rFonts w:ascii="Arial" w:eastAsia="Times New Roman" w:hAnsi="Arial" w:cs="Arial"/>
                <w:b/>
                <w:bCs/>
                <w:sz w:val="24"/>
                <w:szCs w:val="24"/>
              </w:rPr>
              <w:t>Contribution to protocol</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Professor Carlo Palmieri</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University of Liverpool</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Initiating the study, drafting the protocol and providing necessary guidance and review during development of the protocol.</w:t>
            </w:r>
          </w:p>
        </w:tc>
      </w:tr>
      <w:tr w:rsidR="003B3B59" w:rsidRPr="003B3B59" w:rsidTr="003B3B59">
        <w:trPr>
          <w:trHeight w:val="678"/>
        </w:trPr>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lastRenderedPageBreak/>
              <w:t>Dr Vinton Cheng</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Leeds Cancer Centre, Leeds Teaching Hospitals NHS Trust</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 xml:space="preserve">Drafted the main protocol for grant submission </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 xml:space="preserve">Dr Tim Robinson </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University of Bristol</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 Amy Kwan</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Dept. of Academic Oncology, Medical School University of Sheffield</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 Hayley McKenzie</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Dept. of Medical Oncology, Southampton University Hospitals NHS Trust</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 Amanda Fitzpatrick</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The Institute of Cancer Research, Chester Beatty Laboratories</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 Apostolos Konstantis</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UCLH and Princess Alexandra Hospital</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Mr Ruichong Ma</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Dept. of Neurosurgery, John Radcliffe Hospital</w:t>
            </w:r>
          </w:p>
        </w:tc>
        <w:tc>
          <w:tcPr>
            <w:tcW w:w="3556" w:type="dxa"/>
          </w:tcPr>
          <w:p w:rsidR="003B3B59" w:rsidRPr="003B3B59" w:rsidRDefault="003B3B59" w:rsidP="001C43B5">
            <w:pPr>
              <w:spacing w:after="240" w:line="360" w:lineRule="auto"/>
              <w:jc w:val="both"/>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 Pei Jing Teo</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Dept. of Medical Oncology, Queen Elizabeth Hospital</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Lesley Stephen</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Public and Patient Involvement Representative</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the main protocol for grant submission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Miss Helen Scott</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University of Liverpool, Liverpool Clinical Trial Centre</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Reviewed drafts of the protocol in LCTC template</w:t>
            </w:r>
          </w:p>
          <w:p w:rsidR="003B3B59" w:rsidRPr="003B3B59" w:rsidRDefault="003B3B59" w:rsidP="001C43B5">
            <w:pPr>
              <w:spacing w:after="240" w:line="360" w:lineRule="auto"/>
              <w:rPr>
                <w:rFonts w:ascii="Arial" w:eastAsia="Times New Roman" w:hAnsi="Arial" w:cs="Arial"/>
                <w:sz w:val="24"/>
                <w:szCs w:val="24"/>
              </w:rPr>
            </w:pP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lastRenderedPageBreak/>
              <w:t>Mrs Andrea Newhouse</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University of Liverpool, Liverpool Clinical Trial Centre</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protocol in the LCTC template and produced final protocol version.</w:t>
            </w:r>
          </w:p>
        </w:tc>
      </w:tr>
      <w:tr w:rsidR="003B3B59" w:rsidRPr="003B3B59" w:rsidTr="003B3B59">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 Richard Jackson</w:t>
            </w:r>
          </w:p>
        </w:tc>
        <w:tc>
          <w:tcPr>
            <w:tcW w:w="3325"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University of Liverpool, Liverpool Clinical Trial Centre</w:t>
            </w:r>
          </w:p>
        </w:tc>
        <w:tc>
          <w:tcPr>
            <w:tcW w:w="3556" w:type="dxa"/>
          </w:tcPr>
          <w:p w:rsidR="003B3B59" w:rsidRPr="003B3B59" w:rsidRDefault="003B3B59" w:rsidP="001C43B5">
            <w:pPr>
              <w:spacing w:after="240" w:line="360" w:lineRule="auto"/>
              <w:rPr>
                <w:rFonts w:ascii="Arial" w:eastAsia="Times New Roman" w:hAnsi="Arial" w:cs="Arial"/>
                <w:sz w:val="24"/>
                <w:szCs w:val="24"/>
              </w:rPr>
            </w:pPr>
            <w:r w:rsidRPr="003B3B59">
              <w:rPr>
                <w:rFonts w:ascii="Arial" w:eastAsia="Times New Roman" w:hAnsi="Arial" w:cs="Arial"/>
                <w:sz w:val="24"/>
                <w:szCs w:val="24"/>
              </w:rPr>
              <w:t>Drafted and reviewed (Outcomes and Statistical Considerations)</w:t>
            </w:r>
          </w:p>
        </w:tc>
      </w:tr>
    </w:tbl>
    <w:p w:rsidR="003B3B59" w:rsidRPr="003B3B59" w:rsidRDefault="003B3B59" w:rsidP="001C43B5">
      <w:pPr>
        <w:spacing w:after="0" w:line="360" w:lineRule="auto"/>
        <w:jc w:val="both"/>
        <w:rPr>
          <w:rFonts w:ascii="Arial" w:eastAsia="Times New Roman" w:hAnsi="Arial" w:cs="Arial"/>
          <w:b/>
          <w:sz w:val="24"/>
          <w:szCs w:val="24"/>
        </w:rPr>
      </w:pPr>
    </w:p>
    <w:p w:rsidR="003B3B59" w:rsidRPr="003B3B59" w:rsidRDefault="003B3B59" w:rsidP="001C43B5">
      <w:pPr>
        <w:spacing w:after="0" w:line="360" w:lineRule="auto"/>
        <w:rPr>
          <w:rFonts w:ascii="Arial" w:eastAsia="Times New Roman" w:hAnsi="Arial" w:cs="Arial"/>
          <w:sz w:val="24"/>
          <w:szCs w:val="24"/>
        </w:rPr>
      </w:pPr>
      <w:r w:rsidRPr="003B3B59">
        <w:rPr>
          <w:rFonts w:ascii="Arial" w:eastAsia="Times New Roman" w:hAnsi="Arial" w:cs="Arial"/>
          <w:sz w:val="24"/>
          <w:szCs w:val="24"/>
        </w:rPr>
        <w:br w:type="page"/>
      </w:r>
    </w:p>
    <w:p w:rsidR="003B3B59" w:rsidRPr="003B3B59" w:rsidRDefault="003B3B59" w:rsidP="001C43B5">
      <w:pPr>
        <w:keepNext/>
        <w:pageBreakBefore/>
        <w:numPr>
          <w:ilvl w:val="0"/>
          <w:numId w:val="9"/>
        </w:numPr>
        <w:spacing w:after="360" w:line="360" w:lineRule="auto"/>
        <w:ind w:left="567" w:hanging="567"/>
        <w:jc w:val="both"/>
        <w:outlineLvl w:val="0"/>
        <w:rPr>
          <w:rFonts w:ascii="Arial" w:eastAsia="Times New Roman" w:hAnsi="Arial" w:cs="Arial"/>
          <w:b/>
          <w:bCs/>
          <w:sz w:val="32"/>
          <w:szCs w:val="24"/>
        </w:rPr>
      </w:pPr>
      <w:bookmarkStart w:id="45" w:name="_Toc32578423"/>
      <w:bookmarkStart w:id="46" w:name="_Toc38877237"/>
      <w:bookmarkStart w:id="47" w:name="_Toc42020746"/>
      <w:bookmarkStart w:id="48" w:name="_Toc42077783"/>
      <w:bookmarkStart w:id="49" w:name="_Toc44574198"/>
      <w:r w:rsidRPr="003B3B59">
        <w:rPr>
          <w:rFonts w:ascii="Arial" w:eastAsia="Times New Roman" w:hAnsi="Arial" w:cs="Arial"/>
          <w:b/>
          <w:bCs/>
          <w:sz w:val="32"/>
          <w:szCs w:val="24"/>
        </w:rPr>
        <w:lastRenderedPageBreak/>
        <w:t>Introduction</w:t>
      </w:r>
      <w:bookmarkEnd w:id="45"/>
      <w:bookmarkEnd w:id="46"/>
      <w:bookmarkEnd w:id="47"/>
      <w:bookmarkEnd w:id="48"/>
      <w:bookmarkEnd w:id="49"/>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bookmarkStart w:id="50" w:name="_Toc32578424"/>
      <w:r w:rsidRPr="003B3B59">
        <w:rPr>
          <w:rFonts w:ascii="Arial" w:eastAsia="Times New Roman" w:hAnsi="Arial" w:cs="Times New Roman"/>
          <w:b/>
          <w:bCs/>
          <w:color w:val="000000"/>
          <w:sz w:val="28"/>
          <w:szCs w:val="21"/>
        </w:rPr>
        <w:t>5.1 Background</w:t>
      </w:r>
      <w:bookmarkEnd w:id="50"/>
      <w:r w:rsidRPr="003B3B59">
        <w:rPr>
          <w:rFonts w:ascii="Arial" w:eastAsia="Times New Roman" w:hAnsi="Arial" w:cs="Times New Roman"/>
          <w:b/>
          <w:bCs/>
          <w:color w:val="000000"/>
          <w:sz w:val="28"/>
          <w:szCs w:val="21"/>
        </w:rPr>
        <w:t xml:space="preserve"> </w:t>
      </w: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Times New Roman"/>
          <w:sz w:val="24"/>
          <w:szCs w:val="28"/>
        </w:rPr>
        <w:t xml:space="preserve">Breast cancer is the second most (after lung cancer) common primary tumour to metastasise to the brain (also known </w:t>
      </w:r>
      <w:r w:rsidRPr="003B3B59">
        <w:rPr>
          <w:rFonts w:ascii="Arial" w:eastAsia="Times New Roman" w:hAnsi="Arial" w:cs="Times New Roman"/>
          <w:sz w:val="24"/>
          <w:szCs w:val="24"/>
        </w:rPr>
        <w:t>as Breast Cancer Brain Metastases or CNS involvement secondary to breast cancer) accounting</w:t>
      </w:r>
      <w:r w:rsidRPr="003B3B59">
        <w:rPr>
          <w:rFonts w:ascii="Arial" w:eastAsia="Times New Roman" w:hAnsi="Arial" w:cs="Times New Roman"/>
          <w:sz w:val="24"/>
          <w:szCs w:val="28"/>
        </w:rPr>
        <w:t xml:space="preserve"> for 17% of brain metastases</w:t>
      </w:r>
      <w:r w:rsidRPr="003B3B59">
        <w:rPr>
          <w:rFonts w:ascii="Arial" w:eastAsia="Times New Roman" w:hAnsi="Arial" w:cs="Times New Roman"/>
          <w:sz w:val="24"/>
          <w:szCs w:val="28"/>
        </w:rPr>
        <w:fldChar w:fldCharType="begin" w:fldLock="1"/>
      </w:r>
      <w:r>
        <w:rPr>
          <w:rFonts w:ascii="Arial" w:eastAsia="Times New Roman" w:hAnsi="Arial" w:cs="Times New Roman"/>
          <w:sz w:val="24"/>
          <w:szCs w:val="28"/>
        </w:rPr>
        <w:instrText>ADDIN CSL_CITATION {"citationItems":[{"id":"ITEM-1","itemData":{"author":[{"dropping-particle":"","family":"Nayak","given":"L","non-dropping-particle":"","parse-names":false,"suffix":""},{"dropping-particle":"","family":"Lee","given":"E Q","non-dropping-particle":"","parse-names":false,"suffix":""},{"dropping-particle":"","family":"Wen","given":"P Y","non-dropping-particle":"","parse-names":false,"suffix":""}],"container-title":"Curr Oncol Rep","id":"ITEM-1","issue":"1","issued":{"date-parts":[["2012"]]},"page":"48 - 54","title":"Epidemiology of brain metastases","type":"article-journal","volume":"14"},"uris":["http://www.mendeley.com/documents/?uuid=cd97a6dd-a826-41f2-8267-8748aaab9c33"]},{"id":"ITEM-2","itemData":{"DOI":"10.1186/s13058-015-0665-1","ISSN":"1465-542X (Electronic)","PMID":"26781299","abstract":"Because of improvements in the treatment of patients with metastatic breast cancer, the development of brain metastases (BM) has become a major limitation of life expectancy and quality of life for many breast cancer patients. The improvement of management strategies for BM is thus an important clinical challenge, especially among high-risk patients such as human epidermal growth factor receptor 2-positive and triple-negative patients. However, the formation of BM as a multistep process is thus far poorly understood. To grow in the brain, single tumor cells must pass through the tight blood-brain barrier (BBB). The BBB represents an obstacle for circulating tumor cells entering the brain, but it also plays a protective role against immune cell and toxic agents once metastatic cells have colonized the cerebral compartment. Furthermore, animal studies have shown that, after passing the BBB, the tumor cells not only require close contact with endothelial cells but also interact closely with many different brain residential cells. Thus, in addition to a genetic predisposition of the tumor cells, cellular adaptation processes within the new microenvironment may also determine the ability of a tumor cell to metastasize. In this review, we summarize the biology of breast cancer that has spread into the brain and discuss the implications for current and potential future treatment strategies.","author":[{"dropping-particle":"","family":"Witzel","given":"Isabell","non-dropping-particle":"","parse-names":false,"suffix":""},{"dropping-particle":"","family":"Oliveira-Ferrer","given":"Leticia","non-dropping-particle":"","parse-names":false,"suffix":""},{"dropping-particle":"","family":"Pantel","given":"Klaus","non-dropping-particle":"","parse-names":false,"suffix":""},{"dropping-particle":"","family":"Muller","given":"Volkmar","non-dropping-particle":"","parse-names":false,"suffix":""},{"dropping-particle":"","family":"Wikman","given":"Harriet","non-dropping-particle":"","parse-names":false,"suffix":""}],"container-title":"Breast cancer research : BCR","id":"ITEM-2","issue":"1","issued":{"date-parts":[["2016","1"]]},"language":"eng","page":"8","publisher-place":"England","title":"Breast cancer brain metastases: biology and new clinical perspectives.","type":"article-journal","volume":"18"},"uris":["http://www.mendeley.com/documents/?uuid=c18f9566-181f-41b0-a74f-8d71d20f9fba"]}],"mendeley":{"formattedCitation":"&lt;sup&gt;1,2&lt;/sup&gt;","plainTextFormattedCitation":"1,2","previouslyFormattedCitation":"&lt;sup&gt;1,2&lt;/sup&gt;"},"properties":{"noteIndex":0},"schema":"https://github.com/citation-style-language/schema/raw/master/csl-citation.json"}</w:instrText>
      </w:r>
      <w:r w:rsidRPr="003B3B59">
        <w:rPr>
          <w:rFonts w:ascii="Arial" w:eastAsia="Times New Roman" w:hAnsi="Arial" w:cs="Times New Roman"/>
          <w:sz w:val="24"/>
          <w:szCs w:val="28"/>
        </w:rPr>
        <w:fldChar w:fldCharType="separate"/>
      </w:r>
      <w:r w:rsidRPr="003B3B59">
        <w:rPr>
          <w:rFonts w:ascii="Arial" w:eastAsia="Times New Roman" w:hAnsi="Arial" w:cs="Times New Roman"/>
          <w:noProof/>
          <w:sz w:val="24"/>
          <w:szCs w:val="28"/>
          <w:vertAlign w:val="superscript"/>
        </w:rPr>
        <w:t>1,2</w:t>
      </w:r>
      <w:r w:rsidRPr="003B3B59">
        <w:rPr>
          <w:rFonts w:ascii="Arial" w:eastAsia="Times New Roman" w:hAnsi="Arial" w:cs="Times New Roman"/>
          <w:sz w:val="24"/>
          <w:szCs w:val="28"/>
        </w:rPr>
        <w:fldChar w:fldCharType="end"/>
      </w:r>
      <w:r w:rsidRPr="003B3B59">
        <w:rPr>
          <w:rFonts w:ascii="Arial" w:eastAsia="Times New Roman" w:hAnsi="Arial" w:cs="Times New Roman"/>
          <w:sz w:val="24"/>
          <w:szCs w:val="28"/>
        </w:rPr>
        <w:t xml:space="preserve">. Improvements in the systemic treatment of extracranial metastatic disease have resulted in patients surviving </w:t>
      </w:r>
      <w:r w:rsidRPr="003B3B59">
        <w:rPr>
          <w:rFonts w:ascii="Arial" w:eastAsia="Times New Roman" w:hAnsi="Arial" w:cs="Arial"/>
          <w:sz w:val="24"/>
          <w:szCs w:val="24"/>
        </w:rPr>
        <w:t>longer with their metastatic disease, which appears to be contributing to the increase in the incidence of cerebral metastases</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{"citationItems":[{"id":"ITEM-1","itemData":{"DOI":"10.1007/s10549-020-05552-2","ISBN":"0123456789","ISSN":"15737217","abstract":"Purpose: Breast cancer brain metastases (BCBM) are becoming an increasingly common diagnosis due to improved systemic control and more routine surveillance imaging. Treatment continues to require a multidisciplinary approach managing systemic and intracranial disease burden. Although, improvements have been made in the diagnosis and management of BCBM, brain metastasis patients continue to pose a challenge for practitioners. Methods: In this review, a group of medical oncologists, radiation oncologists, radiologists, breast surgeons, and neurosurgeons specializing in the treatment of breast cancer reviewed the available published literature and compiled a comprehensive review on the current state of BCBM. Results: We discuss the pathogenesis, epidemiology, diagnosis, treatment options (including systemic, surgical, and radiotherapy treatment modalities), and treatment response evaluation for BCBM. Furthermore, we discuss the ongoing prospective trials enrolling BCBM patients and their biologic rationale. Conclusions: BCBM management is an increasing clinical concern. Multidisciplinary management combining the strengths of surgical, systemic, and radiation treatment modalities with prospective trials incorporating knowledge from the basic and translational sciences will ultimately lead to improved clinical outcomes for BCBM patients.","author":[{"dropping-particle":"","family":"Mills","given":"Matthew N.","non-dropping-particle":"","parse-names":false,"suffix":""},{"dropping-particle":"","family":"Figura","given":"Nicholas B.","non-dropping-particle":"","parse-names":false,"suffix":""},{"dropping-particle":"","family":"Arrington","given":"John A.","non-dropping-particle":"","parse-names":false,"suffix":""},{"dropping-particle":"","family":"Yu","given":"Hsiang Hsuan Michael","non-dropping-particle":"","parse-names":false,"suffix":""},{"dropping-particle":"","family":"Etame","given":"Arnold B.","non-dropping-particle":"","parse-names":false,"suffix":""},{"dropping-particle":"","family":"Vogelbaum","given":"Michael A.","non-dropping-particle":"","parse-names":false,"suffix":""},{"dropping-particle":"","family":"Soliman","given":"Hatem","non-dropping-particle":"","parse-names":false,"suffix":""},{"dropping-particle":"","family":"Czerniecki","given":"Brian J.","non-dropping-particle":"","parse-names":false,"suffix":""},{"dropping-particle":"","family":"Forsyth","given":"Peter A.","non-dropping-particle":"","parse-names":false,"suffix":""},{"dropping-particle":"","family":"Han","given":"Hyo S.","non-dropping-particle":"","parse-names":false,"suffix":""},{"dropping-particle":"","family":"Ahmed","given":"Kamran A.","non-dropping-particle":"","parse-names":false,"suffix":""}],"container-title":"Breast Cancer Research and Treatment","id":"ITEM-1","issue":"2","issued":{"date-parts":[["2020"]]},"page":"279-300","publisher":"Springer US","title":"Management of brain metastases in breast cancer: a review of current practices and emerging treatments","type":"article-journal","volume":"180"},"uris":["http://www.mendeley.com/documents/?uuid=31c61c3c-e342-4f4d-a000-b6028c28c6bc"]}],"mendeley":{"formattedCitation":"&lt;sup&gt;3&lt;/sup&gt;","plainTextFormattedCitation":"3","previouslyFormattedCitation":"&lt;sup&gt;3&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3</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Local treatment in the form of open surgical resection, stereotactic radiosurgery (SRS) and whole brain radiotherapy (WBRT) have all been applied in isolation or combination in the treatment of cerebral metastases from breast cancer with the aim of improving local control, extending life and preventing further neurological manifestations such as leptomeningeal metastases and Paraneoplastic Disorders. A number of randomised controlled trials have been performed, but treatment guidelines in North America, Europe and the UK reflect deep uncertainty about which strategies serve patient needs best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{"citationItems":[{"id":"ITEM-1","itemData":{"DOI":"10.1093/neuonc/now241","ISSN":"1523-5866 (Electronic)","PMID":"28391295","abstract":"The management of patients with brain metastases has become a major issue due to  the increasing frequency and complexity of the diagnostic and therapeutic approaches. In 2014, the European Association of Neuro-Oncology (EANO) created a multidisciplinary Task Force to draw evidence-based guidelines for patients with brain metastases from solid tumors. Here, we present these guidelines, which provide a consensus review of evidence and recommendations for diagnosis by neuroimaging and neuropathology, staging, prognostic factors, and different treatment options. Specifically, we addressed options such as surgery, stereotactic radiosurgery/stereotactic fractionated radiotherapy, whole-brain radiotherapy, chemotherapy and targeted therapy (with particular attention to brain metastases from non-small cell lung cancer, melanoma and breast and renal cancer), and supportive care.","author":[{"dropping-particle":"","family":"Soffietti","given":"Riccardo","non-dropping-particle":"","parse-names":false,"suffix":""},{"dropping-particle":"","family":"Abacioglu","given":"Ufuk","non-dropping-particle":"","parse-names":false,"suffix":""},{"dropping-particle":"","family":"Baumert","given":"Brigitta","non-dropping-particle":"","parse-names":false,"suffix":""},{"dropping-particle":"","family":"Combs","given":"Stephanie E","non-dropping-particle":"","parse-names":false,"suffix":""},{"dropping-particle":"","family":"Kinhult","given":"Sara","non-dropping-particle":"","parse-names":false,"suffix":""},{"dropping-particle":"","family":"Kros","given":"Johan M","non-dropping-particle":"","parse-names":false,"suffix":""},{"dropping-particle":"","family":"Marosi","given":"Christine","non-dropping-particle":"","parse-names":false,"suffix":""},{"dropping-particle":"","family":"Metellus","given":"Philippe","non-dropping-particle":"","parse-names":false,"suffix":""},{"dropping-particle":"","family":"Radbruch","given":"Alexander","non-dropping-particle":"","parse-names":false,"suffix":""},{"dropping-particle":"","family":"Villa Freixa","given":"Salvador S","non-dropping-particle":"","parse-names":false,"suffix":""},{"dropping-particle":"","family":"Brada","given":"Michael","non-dropping-particle":"","parse-names":false,"suffix":""},{"dropping-particle":"","family":"Carapella","given":"Carmine M","non-dropping-particle":"","parse-names":false,"suffix":""},{"dropping-particle":"","family":"Preusser","given":"Matthias","non-dropping-particle":"","parse-names":false,"suffix":""},{"dropping-particle":"","family":"Rhun","given":"Emilie","non-dropping-particle":"Le","parse-names":false,"suffix":""},{"dropping-particle":"","family":"Ruda","given":"Roberta","non-dropping-particle":"","parse-names":false,"suffix":""},{"dropping-particle":"","family":"Tonn","given":"Joerg C","non-dropping-particle":"","parse-names":false,"suffix":""},{"dropping-particle":"","family":"Weber","given":"Damien C","non-dropping-particle":"","parse-names":false,"suffix":""},{"dropping-particle":"","family":"Weller","given":"Michael","non-dropping-particle":"","parse-names":false,"suffix":""}],"container-title":"Neuro-oncology","id":"ITEM-1","issue":"2","issued":{"date-parts":[["2017","2"]]},"language":"eng","page":"162-174","publisher-place":"England","title":"Diagnosis and treatment of brain metastases from solid tumors: guidelines from the European Association of Neuro-Oncology (EANO).","type":"article-journal","volume":"19"},"uris":["http://www.mendeley.com/documents/?uuid=e01e6671-6146-41f3-b368-d10973a7d2ce"]}],"mendeley":{"formattedCitation":"&lt;sup&gt;4&lt;/sup&gt;","plainTextFormattedCitation":"4","previouslyFormattedCitation":"&lt;sup&gt;4&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4</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There is also questionable relevance of many studies to BCBM patients as they are largely underrepresented in older randomised trials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{"citationItems":[{"id":"ITEM-1","itemData":{"author":[{"dropping-particle":"","family":"Lim","given":"Elgene","non-dropping-particle":"","parse-names":false,"suffix":""},{"dropping-particle":"","family":"Lin","given":"Nancy U","non-dropping-particle":"","parse-names":false,"suffix":""}],"container-title":"C2ancerNetwork","id":"ITEM-1","issue":"7","issued":{"date-parts":[["2012"]]},"title":"Current Treatment Strategies for Breast Cancer Brain Metastases","type":"article-journal","volume":"26"},"uris":["http://www.mendeley.com/documents/?uuid=bd573661-4b11-4756-9ada-8c3672524b29"]}],"mendeley":{"formattedCitation":"&lt;sup&gt;5&lt;/sup&gt;","plainTextFormattedCitation":"5","previouslyFormattedCitation":"&lt;sup&gt;5&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5</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These trials are usually underpowered for stratification by receptor type. </w:t>
      </w:r>
    </w:p>
    <w:p w:rsidR="003B3B59" w:rsidRPr="003B3B59" w:rsidRDefault="003B3B59" w:rsidP="001C43B5">
      <w:pPr>
        <w:spacing w:after="0" w:line="360" w:lineRule="auto"/>
        <w:jc w:val="both"/>
        <w:rPr>
          <w:rFonts w:ascii="Arial" w:eastAsia="Times New Roman" w:hAnsi="Arial" w:cs="Times New Roman"/>
          <w:bCs/>
          <w:sz w:val="24"/>
          <w:szCs w:val="24"/>
        </w:rPr>
      </w:pPr>
    </w:p>
    <w:p w:rsidR="003B3B59" w:rsidRPr="003B3B59" w:rsidRDefault="003B3B59" w:rsidP="001C43B5">
      <w:pPr>
        <w:spacing w:after="0" w:line="360" w:lineRule="auto"/>
        <w:jc w:val="both"/>
        <w:rPr>
          <w:rFonts w:ascii="Arial" w:eastAsia="Times New Roman" w:hAnsi="Arial" w:cs="Times New Roman"/>
          <w:bCs/>
          <w:sz w:val="24"/>
          <w:szCs w:val="24"/>
        </w:rPr>
      </w:pPr>
      <w:r w:rsidRPr="003B3B59">
        <w:rPr>
          <w:rFonts w:ascii="Arial" w:eastAsia="Times New Roman" w:hAnsi="Arial" w:cs="Times New Roman"/>
          <w:bCs/>
          <w:sz w:val="24"/>
          <w:szCs w:val="24"/>
        </w:rPr>
        <w:t>This study aims to improve the current knowledge/literature base following on from recent publications by implementing a nationwide data collection of routine clinical care in Breast Cancer Brain Metastases (BCBM). The audit will focus primarily on understanding more on cerebral metastases. However, secondary aims will also place emphasis on understanding the clinical presentation and manifestation of Leptomeningeal disorders and Paraneoplastic Disorders should they be diagnosed among BCBM patients.</w:t>
      </w:r>
    </w:p>
    <w:p w:rsidR="003B3B59" w:rsidRPr="003B3B59" w:rsidRDefault="003B3B59" w:rsidP="001C43B5">
      <w:pPr>
        <w:spacing w:after="0" w:line="360" w:lineRule="auto"/>
        <w:jc w:val="both"/>
        <w:rPr>
          <w:rFonts w:ascii="Arial" w:eastAsia="Times New Roman" w:hAnsi="Arial" w:cs="Times New Roman"/>
          <w:bCs/>
          <w:sz w:val="24"/>
          <w:szCs w:val="24"/>
        </w:rPr>
      </w:pPr>
    </w:p>
    <w:p w:rsidR="003B3B59" w:rsidRPr="003B3B59" w:rsidRDefault="003B3B59" w:rsidP="001C43B5">
      <w:pPr>
        <w:spacing w:after="0" w:line="360" w:lineRule="auto"/>
        <w:jc w:val="both"/>
        <w:rPr>
          <w:rFonts w:ascii="Arial" w:eastAsia="Times New Roman" w:hAnsi="Arial" w:cs="Times New Roman"/>
          <w:b/>
          <w:bCs/>
          <w:sz w:val="24"/>
          <w:szCs w:val="24"/>
        </w:rPr>
      </w:pPr>
      <w:r w:rsidRPr="003B3B59">
        <w:rPr>
          <w:rFonts w:ascii="Arial" w:eastAsia="Times New Roman" w:hAnsi="Arial" w:cs="Times New Roman"/>
          <w:b/>
          <w:bCs/>
          <w:sz w:val="24"/>
          <w:szCs w:val="24"/>
        </w:rPr>
        <w:t>Cerebral Metastases</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Cerebral metastases is a growing problem among patients living with metastatic breast cancer, particularly for patients with triple negative and human epidermal growth factor receptor 2 (HER2)-positive disease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{"citationItems":[{"id":"ITEM-1","itemData":{"DOI":"10.1186/s13058-015-0665-1","ISSN":"1465-542X (Electronic)","PMID":"26781299","abstract":"Because of improvements in the treatment of patients with metastatic breast cancer, the development of brain metastases (BM) has become a major limitation of life expectancy and quality of life for many breast cancer patients. The improvement of management strategies for BM is thus an important clinical challenge, especially among high-risk patients such as human epidermal growth factor receptor 2-positive and triple-negative patients. However, the formation of BM as a multistep process is thus far poorly understood. To grow in the brain, single tumor cells must pass through the tight blood-brain barrier (BBB). The BBB represents an obstacle for circulating tumor cells entering the brain, but it also plays a protective role against immune cell and toxic agents once metastatic cells have colonized the cerebral compartment. Furthermore, animal studies have shown that, after passing the BBB, the tumor cells not only require close contact with endothelial cells but also interact closely with many different brain residential cells. Thus, in addition to a genetic predisposition of the tumor cells, cellular adaptation processes within the new microenvironment may also determine the ability of a tumor cell to metastasize. In this review, we summarize the biology of breast cancer that has spread into the brain and discuss the implications for current and potential future treatment strategies.","author":[{"dropping-particle":"","family":"Witzel","given":"Isabell","non-dropping-particle":"","parse-names":false,"suffix":""},{"dropping-particle":"","family":"Oliveira-Ferrer","given":"Leticia","non-dropping-particle":"","parse-names":false,"suffix":""},{"dropping-particle":"","family":"Pantel","given":"Klaus","non-dropping-particle":"","parse-names":false,"suffix":""},{"dropping-particle":"","family":"Muller","given":"Volkmar","non-dropping-particle":"","parse-names":false,"suffix":""},{"dropping-particle":"","family":"Wikman","given":"Harriet","non-dropping-particle":"","parse-names":false,"suffix":""}],"container-title":"Breast cancer research : BCR","id":"ITEM-1","issue":"1","issued":{"date-parts":[["2016","1"]]},"language":"eng","page":"8","publisher-place":"England","title":"Breast cancer brain metastases: biology and new clinical perspectives.","type":"article-journal","volume":"18"},"uris":["http://www.mendeley.com/documents/?uuid=c18f9566-181f-41b0-a74f-8d71d20f9fba"]}],"mendeley":{"formattedCitation":"&lt;sup&gt;2&lt;/sup&gt;","plainTextFormattedCitation":"2","previouslyFormattedCitation":"&lt;sup&gt;2&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2</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and is associated with significant morbidity and mortality. The median overall survival ranges from 3 months to 26 months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{"citationItems":[{"id":"ITEM-1","itemData":{"DOI":"10.1007/s10549-020-05552-2","ISBN":"0123456789","ISSN":"15737217","abstract":"Purpose: Breast cancer brain metastases (BCBM) are becoming an increasingly common diagnosis due to improved systemic control and more routine surveillance imaging. Treatment continues to require a multidisciplinary approach managing systemic and intracranial disease burden. Although, improvements have been made in the diagnosis and management of BCBM, brain metastasis patients continue to pose a challenge for practitioners. Methods: In this review, a group of medical oncologists, radiation oncologists, radiologists, breast surgeons, and neurosurgeons specializing in the treatment of breast cancer reviewed the available published literature and compiled a comprehensive review on the current state of BCBM. Results: We discuss the pathogenesis, epidemiology, diagnosis, treatment options (including systemic, surgical, and radiotherapy treatment modalities), and treatment response evaluation for BCBM. Furthermore, we discuss the ongoing prospective trials enrolling BCBM patients and their biologic rationale. Conclusions: BCBM management is an increasing clinical concern. Multidisciplinary management combining the strengths of surgical, systemic, and radiation treatment modalities with prospective trials incorporating knowledge from the basic and translational sciences will ultimately lead to improved clinical outcomes for BCBM patients.","author":[{"dropping-particle":"","family":"Mills","given":"Matthew N.","non-dropping-particle":"","parse-names":false,"suffix":""},{"dropping-particle":"","family":"Figura","given":"Nicholas B.","non-dropping-particle":"","parse-names":false,"suffix":""},{"dropping-particle":"","family":"Arrington","given":"John A.","non-dropping-particle":"","parse-names":false,"suffix":""},{"dropping-particle":"","family":"Yu","given":"Hsiang Hsuan Michael","non-dropping-particle":"","parse-names":false,"suffix":""},{"dropping-particle":"","family":"Etame","given":"Arnold B.","non-dropping-particle":"","parse-names":false,"suffix":""},{"dropping-particle":"","family":"Vogelbaum","given":"Michael A.","non-dropping-particle":"","parse-names":false,"suffix":""},{"dropping-particle":"","family":"Soliman","given":"Hatem","non-dropping-particle":"","parse-names":false,"suffix":""},{"dropping-particle":"","family":"Czerniecki","given":"Brian J.","non-dropping-particle":"","parse-names":false,"suffix":""},{"dropping-particle":"","family":"Forsyth","given":"Peter A.","non-dropping-particle":"","parse-names":false,"suffix":""},{"dropping-particle":"","family":"Han","given":"Hyo S.","non-dropping-particle":"","parse-names":false,"suffix":""},{"dropping-particle":"","family":"Ahmed","given":"Kamran A.","non-dropping-particle":"","parse-names":false,"suffix":""}],"container-title":"Breast Cancer Research and Treatment","id":"ITEM-1","issue":"2","issued":{"date-parts":[["2020"]]},"page":"279-300","publisher":"Springer US","title":"Management of brain metastases in breast cancer: a review of current practices and emerging treatments","type":"article-journal","volume":"180"},"uris":["http://www.mendeley.com/documents/?uuid=31c61c3c-e342-4f4d-a000-b6028c28c6bc"]}],"mendeley":{"formattedCitation":"&lt;sup&gt;3&lt;/sup&gt;","plainTextFormattedCitation":"3","previouslyFormattedCitation":"&lt;sup&gt;3&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3</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The most recent breast cancer-specific prognostic model, the Modified Breast-Graded Prognostic Assessment (GPA), confirmed that tumour receptor </w:t>
      </w:r>
      <w:r w:rsidRPr="003B3B59">
        <w:rPr>
          <w:rFonts w:ascii="Arial" w:eastAsia="Times New Roman" w:hAnsi="Arial" w:cs="Arial"/>
          <w:sz w:val="24"/>
          <w:szCs w:val="24"/>
        </w:rPr>
        <w:lastRenderedPageBreak/>
        <w:t xml:space="preserve">status, along with age, performance status and number of brain metastases, predicted overall survival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{"citationItems":[{"id":"ITEM-1","itemData":{"DOI":"10.1007/s10549-020-05552-2","ISBN":"0123456789","ISSN":"15737217","abstract":"Purpose: Breast cancer brain metastases (BCBM) are becoming an increasingly common diagnosis due to improved systemic control and more routine surveillance imaging. Treatment continues to require a multidisciplinary approach managing systemic and intracranial disease burden. Although, improvements have been made in the diagnosis and management of BCBM, brain metastasis patients continue to pose a challenge for practitioners. Methods: In this review, a group of medical oncologists, radiation oncologists, radiologists, breast surgeons, and neurosurgeons specializing in the treatment of breast cancer reviewed the available published literature and compiled a comprehensive review on the current state of BCBM. Results: We discuss the pathogenesis, epidemiology, diagnosis, treatment options (including systemic, surgical, and radiotherapy treatment modalities), and treatment response evaluation for BCBM. Furthermore, we discuss the ongoing prospective trials enrolling BCBM patients and their biologic rationale. Conclusions: BCBM management is an increasing clinical concern. Multidisciplinary management combining the strengths of surgical, systemic, and radiation treatment modalities with prospective trials incorporating knowledge from the basic and translational sciences will ultimately lead to improved clinical outcomes for BCBM patients.","author":[{"dropping-particle":"","family":"Mills","given":"Matthew N.","non-dropping-particle":"","parse-names":false,"suffix":""},{"dropping-particle":"","family":"Figura","given":"Nicholas B.","non-dropping-particle":"","parse-names":false,"suffix":""},{"dropping-particle":"","family":"Arrington","given":"John A.","non-dropping-particle":"","parse-names":false,"suffix":""},{"dropping-particle":"","family":"Yu","given":"Hsiang Hsuan Michael","non-dropping-particle":"","parse-names":false,"suffix":""},{"dropping-particle":"","family":"Etame","given":"Arnold B.","non-dropping-particle":"","parse-names":false,"suffix":""},{"dropping-particle":"","family":"Vogelbaum","given":"Michael A.","non-dropping-particle":"","parse-names":false,"suffix":""},{"dropping-particle":"","family":"Soliman","given":"Hatem","non-dropping-particle":"","parse-names":false,"suffix":""},{"dropping-particle":"","family":"Czerniecki","given":"Brian J.","non-dropping-particle":"","parse-names":false,"suffix":""},{"dropping-particle":"","family":"Forsyth","given":"Peter A.","non-dropping-particle":"","parse-names":false,"suffix":""},{"dropping-particle":"","family":"Han","given":"Hyo S.","non-dropping-particle":"","parse-names":false,"suffix":""},{"dropping-particle":"","family":"Ahmed","given":"Kamran A.","non-dropping-particle":"","parse-names":false,"suffix":""}],"container-title":"Breast Cancer Research and Treatment","id":"ITEM-1","issue":"2","issued":{"date-parts":[["2020"]]},"page":"279-300","publisher":"Springer US","title":"Management of brain metastases in breast cancer: a review of current practices and emerging treatments","type":"article-journal","volume":"180"},"uris":["http://www.mendeley.com/documents/?uuid=31c61c3c-e342-4f4d-a000-b6028c28c6bc"]}],"mendeley":{"formattedCitation":"&lt;sup&gt;3&lt;/sup&gt;","plainTextFormattedCitation":"3","previouslyFormattedCitation":"&lt;sup&gt;3&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3</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Current National Comprehensive Cancer Network (NCCN) guidelines recommend brain Magnetic Resonance Imaging (MRI) screening for recurrent or stage IV breast cancer patient only if symptoms are present. Symptoms can present as headaches, vomiting, seizures or forms of neurological deficits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{"citationItems":[{"id":"ITEM-1","itemData":{"DOI":"10.1007/s10549-020-05552-2","ISBN":"0123456789","ISSN":"15737217","abstract":"Purpose: Breast cancer brain metastases (BCBM) are becoming an increasingly common diagnosis due to improved systemic control and more routine surveillance imaging. Treatment continues to require a multidisciplinary approach managing systemic and intracranial disease burden. Although, improvements have been made in the diagnosis and management of BCBM, brain metastasis patients continue to pose a challenge for practitioners. Methods: In this review, a group of medical oncologists, radiation oncologists, radiologists, breast surgeons, and neurosurgeons specializing in the treatment of breast cancer reviewed the available published literature and compiled a comprehensive review on the current state of BCBM. Results: We discuss the pathogenesis, epidemiology, diagnosis, treatment options (including systemic, surgical, and radiotherapy treatment modalities), and treatment response evaluation for BCBM. Furthermore, we discuss the ongoing prospective trials enrolling BCBM patients and their biologic rationale. Conclusions: BCBM management is an increasing clinical concern. Multidisciplinary management combining the strengths of surgical, systemic, and radiation treatment modalities with prospective trials incorporating knowledge from the basic and translational sciences will ultimately lead to improved clinical outcomes for BCBM patients.","author":[{"dropping-particle":"","family":"Mills","given":"Matthew N.","non-dropping-particle":"","parse-names":false,"suffix":""},{"dropping-particle":"","family":"Figura","given":"Nicholas B.","non-dropping-particle":"","parse-names":false,"suffix":""},{"dropping-particle":"","family":"Arrington","given":"John A.","non-dropping-particle":"","parse-names":false,"suffix":""},{"dropping-particle":"","family":"Yu","given":"Hsiang Hsuan Michael","non-dropping-particle":"","parse-names":false,"suffix":""},{"dropping-particle":"","family":"Etame","given":"Arnold B.","non-dropping-particle":"","parse-names":false,"suffix":""},{"dropping-particle":"","family":"Vogelbaum","given":"Michael A.","non-dropping-particle":"","parse-names":false,"suffix":""},{"dropping-particle":"","family":"Soliman","given":"Hatem","non-dropping-particle":"","parse-names":false,"suffix":""},{"dropping-particle":"","family":"Czerniecki","given":"Brian J.","non-dropping-particle":"","parse-names":false,"suffix":""},{"dropping-particle":"","family":"Forsyth","given":"Peter A.","non-dropping-particle":"","parse-names":false,"suffix":""},{"dropping-particle":"","family":"Han","given":"Hyo S.","non-dropping-particle":"","parse-names":false,"suffix":""},{"dropping-particle":"","family":"Ahmed","given":"Kamran A.","non-dropping-particle":"","parse-names":false,"suffix":""}],"container-title":"Breast Cancer Research and Treatment","id":"ITEM-1","issue":"2","issued":{"date-parts":[["2020"]]},"page":"279-300","publisher":"Springer US","title":"Management of brain metastases in breast cancer: a review of current practices and emerging treatments","type":"article-journal","volume":"180"},"uris":["http://www.mendeley.com/documents/?uuid=31c61c3c-e342-4f4d-a000-b6028c28c6bc"]}],"mendeley":{"formattedCitation":"&lt;sup&gt;3&lt;/sup&gt;","plainTextFormattedCitation":"3","previouslyFormattedCitation":"&lt;sup&gt;3&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3</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Systemic treatment is the treatment of choice following central nervous system progression in patients who have had prior local therapy. Relative to other cancers, little is known about the tumour microenvironment within the brain, a setting unique to all other metastatic sites. The nature of the systemic therapy will depend on the tumour subtype, preceding systemic treatment and the patient’s performance status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{"citationItems":[{"id":"ITEM-1","itemData":{"DOI":"10.3332/ecancer.2013.307","ISSN":"1754-6605 (Print)","PMID":"23662165","abstract":"The management of patients with brain metastases from breast cancer continues to be a major clinical challenge. The standard initial therapeutic approach depends upon the size, location, and number of metastatic lesions and includes consideration of surgical resection, whole-brain radiotherapy, and stereotactic radiosurgery. As systemic therapies for control of extracranial disease improve, patients are surviving long enough to experience subsequent progression events in the brain. Therefore, there is an increasing need to identify both more effective initial treatments as well as to develop multiple lines of salvage treatments for patients with breast cancer brain metastases. This review summarises the clinical experience to date with respect to cytotoxic and targeted systemic therapies for the treatment of brain metastases, highlights ongoing and planned trials of novel approaches and identifies potential targets for future investigation.","author":[{"dropping-particle":"","family":"Lin","given":"Nancy U","non-dropping-particle":"","parse-names":false,"suffix":""}],"container-title":"E Cancer Medical Science","id":"ITEM-1","issued":{"date-parts":[["2013"]]},"language":"eng","page":"307","title":"Breast cancer brain metastases: new directions in systemic therapy.","type":"article-journal","volume":"7"},"uris":["http://www.mendeley.com/documents/?uuid=902cebf7-5c38-484a-af74-6b489e504cbc"]}],"mendeley":{"formattedCitation":"&lt;sup&gt;6&lt;/sup&gt;","plainTextFormattedCitation":"6","previouslyFormattedCitation":"&lt;sup&gt;6&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6</w:t>
      </w:r>
      <w:r w:rsidRPr="003B3B59">
        <w:rPr>
          <w:rFonts w:ascii="Arial" w:eastAsia="Times New Roman" w:hAnsi="Arial" w:cs="Arial"/>
          <w:sz w:val="24"/>
          <w:szCs w:val="24"/>
        </w:rPr>
        <w:fldChar w:fldCharType="end"/>
      </w:r>
      <w:r w:rsidRPr="003B3B59">
        <w:rPr>
          <w:rFonts w:ascii="Arial" w:eastAsia="Times New Roman" w:hAnsi="Arial" w:cs="Arial"/>
          <w:sz w:val="24"/>
          <w:szCs w:val="24"/>
        </w:rPr>
        <w:t>. These therapies may include chemotherapy, HER2-directed therapy and endocrine therapy. However, therapeutic options for intracranial disease remain limited; therefore, novel therapeutic approaches need to be developed.</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b/>
          <w:bCs/>
          <w:sz w:val="24"/>
          <w:szCs w:val="24"/>
        </w:rPr>
      </w:pPr>
      <w:bookmarkStart w:id="51" w:name="_Toc10368459"/>
      <w:r w:rsidRPr="003B3B59">
        <w:rPr>
          <w:rFonts w:ascii="Arial" w:eastAsia="Times New Roman" w:hAnsi="Arial" w:cs="Arial"/>
          <w:b/>
          <w:bCs/>
          <w:sz w:val="24"/>
          <w:szCs w:val="24"/>
        </w:rPr>
        <w:t>Leptomeningeal Metastases</w:t>
      </w:r>
      <w:bookmarkEnd w:id="51"/>
      <w:r w:rsidRPr="003B3B59">
        <w:rPr>
          <w:rFonts w:ascii="Arial" w:eastAsia="Times New Roman" w:hAnsi="Arial" w:cs="Arial"/>
          <w:b/>
          <w:bCs/>
          <w:sz w:val="24"/>
          <w:szCs w:val="24"/>
        </w:rPr>
        <w:t xml:space="preserve"> (LM)</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Whilst most CNS metastases develop in the parenchyma, a minority may arise in the leptomeninges. The exact incidence of LM is difficult to estimate, however they are thought to comprise between 10 to 20% of CNS metastases</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{"citationItems":[{"id":"ITEM-1","itemData":{"ISSN":"2156-6976 (Print)","PMID":"23593536","abstract":"Central nervous system (CNS) metastasis from breast cancer may be characterized as  either parenchymal brain metastasis (BM) or leptomeningeal (LM) metastasis. BM are much more common (about 80% of all CNS metastases), and have been more extensively studied than LM. CNS metastasis in breast cancer has been associated with reduced overall survival, with the shortest survival generally observed in cases of LM. Here, we review the epidemiology, prognostic factors, diagnostic tools, currently available treatments, and potential future therapies for LM from breast cancer.","author":[{"dropping-particle":"","family":"Scott","given":"Brian J","non-dropping-particle":"","parse-names":false,"suffix":""},{"dropping-particle":"","family":"Kesari","given":"Santosh","non-dropping-particle":"","parse-names":false,"suffix":""}],"container-title":"American journal of cancer research","id":"ITEM-1","issue":"2","issued":{"date-parts":[["2013"]]},"language":"eng","page":"117-126","title":"Leptomeningeal metastases in breast cancer.","type":"article-journal","volume":"3"},"uris":["http://www.mendeley.com/documents/?uuid=0a00f571-2ba1-4a69-990c-42b77114366f"]}],"mendeley":{"formattedCitation":"&lt;sup&gt;7&lt;/sup&gt;","plainTextFormattedCitation":"7","previouslyFormattedCitation":"&lt;sup&gt;7&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7</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Treatment of LM is highly variable between patients, depending on the clinical context and the presence of any co-morbidities. There is also considerable inter-institutional variation with regard to treatment, reflecting controversies that exist in the relative merits of different treatment modalities. Neurosurgery, in the context of LM, has a role in relieving non-communicating hydrocephalus and the insertion of a ventricular “Ommaya” reservoir to provide access for administering intrathecal chemotherapy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{"citationItems":[{"id":"ITEM-1","itemData":{"DOI":"10.1093/annonc/mdx221","ISSN":"1569-8041 (Electronic)","PMID":"28881917","author":[{"dropping-particle":"","family":"Rhun","given":"E","non-dropping-particle":"Le","parse-names":false,"suffix":""},{"dropping-particle":"","family":"Weller","given":"M","non-dropping-particle":"","parse-names":false,"suffix":""},{"dropping-particle":"","family":"Brandsma","given":"D","non-dropping-particle":"","parse-names":false,"suffix":""},{"dropping-particle":"","family":"Bent","given":"M","non-dropping-particle":"Van den","parse-names":false,"suffix":""},{"dropping-particle":"","family":"Azambuja","given":"E","non-dropping-particle":"de","parse-names":false,"suffix":""},{"dropping-particle":"","family":"Henriksson","given":"R","non-dropping-particle":"","parse-names":false,"suffix":""},{"dropping-particle":"","family":"Boulanger","given":"T","non-dropping-particle":"","parse-names":false,"suffix":""},{"dropping-particle":"","family":"Peters","given":"S","non-dropping-particle":"","parse-names":false,"suffix":""},{"dropping-particle":"","family":"Watts","given":"C","non-dropping-particle":"","parse-names":false,"suffix":""},{"dropping-particle":"","family":"Wick","given":"W","non-dropping-particle":"","parse-names":false,"suffix":""},{"dropping-particle":"","family":"Wesseling","given":"P","non-dropping-particle":"","parse-names":false,"suffix":""},{"dropping-particle":"","family":"Ruda","given":"R","non-dropping-particle":"","parse-names":false,"suffix":""},{"dropping-particle":"","family":"Preusser","given":"M","non-dropping-particle":"","parse-names":false,"suffix":""}],"container-title":"Annals of oncology : official journal of the European Society for Medical Oncology","id":"ITEM-1","issue":"suppl_4","issued":{"date-parts":[["2017","7"]]},"language":"eng","page":"iv84-iv99","publisher-place":"England","title":"EANO-ESMO Clinical Practice Guidelines for diagnosis, treatment and follow-up of  patients with leptomeningeal metastasis from solid tumours.","type":"article-journal","volume":"28"},"uris":["http://www.mendeley.com/documents/?uuid=cde6284e-a266-4a4f-b7f3-3c5f991b40e7"]}],"mendeley":{"formattedCitation":"&lt;sup&gt;8&lt;/sup&gt;","plainTextFormattedCitation":"8","previouslyFormattedCitation":"&lt;sup&gt;8&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8</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CNS-targeted radiotherapy is often given to treat sites of LM, often in combination with systemic anti-cancer drug therapy. Intrathecal chemotherapy usually takes the form of methotrexate, cytarabine or thiotepa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{"citationItems":[{"id":"ITEM-1","itemData":{"DOI":"10.1053/j.seminoncol.2009.05.006","ISSN":"0093-7754 (Print)","PMID":"19660683","abstract":"Secondary involvement of the leptomeninges represents an infrequent but devastating (and nearly always fatal) complication of solid tumors, hematologic malignancies (both leukemia and lymphoma), and primary brain tumors. Clinical suspicion of neoplastic meningitis (NM) may be raised by the appearance of multivariate neurological symptoms; however, a definitive diagnosis is often difficult to obtain. Improved treatments for primary malignancies and advances in diagnostic imaging technology have led to an apparent increase in the number of patients diagnosed with NM. Unfortunately, therapeutic options remain limited, particularly for patients with chemoresistant tumors. Optimized treatment remains controversial and may rely upon a combination of chemotherapy (intrathecal and/or intravenous) and concurrent focal radiotherapy. This review discusses the advantages and disadvantages of intra-cerebrospinal fluid (CSF) versus systemic strategies for treating NM. Clinical trial evidence is presented for the different treatment modalities. In addition, the therapeutic potential of intra-CSF therapy for cancer prophylaxis is discussed. Earlier diagnosis and more aggressive preventive treatment regimens may provide substantial increases in survival and favorably affect quality of life. Additional data from large-scale, well-controlled trials are required to more accurately assess the efficacy of intra-CSF versus systemic treatment in NM. Future treatment options using novel targets for intra-CSF therapy will be addressed as well.","author":[{"dropping-particle":"","family":"Shapiro","given":"William R","non-dropping-particle":"","parse-names":false,"suffix":""},{"dropping-particle":"","family":"Johanson","given":"Conrad E","non-dropping-particle":"","parse-names":false,"suffix":""},{"dropping-particle":"","family":"Boogerd","given":"Willem","non-dropping-particle":"","parse-names":false,"suffix":""}],"container-title":"Seminars in oncology","id":"ITEM-1","issue":"4 Suppl 2","issued":{"date-parts":[["2009","8"]]},"language":"eng","page":"S46-54","publisher-place":"United States","title":"Treatment modalities for leptomeningeal metastases.","type":"article-journal","volume":"36"},"uris":["http://www.mendeley.com/documents/?uuid=d1620278-4809-4590-bfb5-84f8ae1b3aa7"]},{"id":"ITEM-2","itemData":{"DOI":"10.1016/S1470-2045(10)70034-6","ISSN":"1474-5488 (Electronic)","PMID":"20598636","abstract":"Neoplastic meningitis consists of diffuse involvement of the leptomeninges by infiltrating cancer cells, and can be caused by systemic or primary CNS tumours, such as solid cancers or lymphoproliferative malignant disease. Neoplastic meningitis is characterised by multifocal neurological signs and symptoms. Thus, careful neurological examination is needed for diagnosis of secondary diffuse involvement. Survival of patients with neoplastic meningitis is short (3-4 months), although some patients have long-lasting remission. Because most patients with neoplastic meningitis have diffuse systemic disease, treatment is typically palliative. However, more aggressive treatments are available to low-risk patients, which could increase survival. Therefore, identification of low-risk patients is important. Intrathecal chemotherapy is currently the main treatment for patients with neoplastic meningitis, but optimum anticancer chemotherapy is being studied.","author":[{"dropping-particle":"","family":"Beauchesne","given":"Patrick","non-dropping-particle":"","parse-names":false,"suffix":""}],"container-title":"The Lancet. Oncology","id":"ITEM-2","issue":"9","issued":{"date-parts":[["2010","9"]]},"language":"eng","page":"871-879","publisher-place":"England","title":"Intrathecal chemotherapy for treatment of leptomeningeal dissemination of metastatic tumours.","type":"article-journal","volume":"11"},"uris":["http://www.mendeley.com/documents/?uuid=19f36be8-443e-4907-83cb-cb70dcb59557"]}],"mendeley":{"formattedCitation":"&lt;sup&gt;9,10&lt;/sup&gt;","plainTextFormattedCitation":"9,10","previouslyFormattedCitation":"&lt;sup&gt;9,10&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9,10</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Clearance of malignant cells from the CSF following chemotherapy has been shown to be a good prognostic factor. However, survival remains poor, reaching a median of 15 weeks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{"citationItems":[{"id":"ITEM-1","itemData":{"DOI":"10.18632/oncotarget.5911","ISSN":"1949-2553 (Electronic)","PMID":"26543235","abstract":"BACKGROUND: There is limited data on the impact of specific patient characteristics, tumor subtypes or treatment interventions on survival in breast cancer LM. METHODS: A systematic review was conducted to assess the impact of hormone receptor and HER-2 status on survival in breast cancer LM. A search for clinical studies published between 1/1/2007 and 7/1/2012 and all randomized-controlled trials was performed. Survival data from all studies are reported by study design (prospective trials, retrospective cohort studies, case studies). RESULTS: A total of 36 studies with 851 LM breast cancer subjects were identified. The majority (87%) were treated with intrathecal chemotherapy. Pooled median overall survival ranged from 14.9-18.1 weeks depending on study type. Breast cancer LM survival (15 weeks) was longer than other solid tumor LM 8.3 weeks and lung cancer LM 8.7 weeks, but shorter than LM lymphoma (15.4 versus 24.2 weeks). The impact of hormone receptor and HER-2 status on survival could not be determined. CONCLUSIONS: A median overall survival of 15 weeks in prospective studies of breast cancer LM provides a historical comparison for future LM breast cancer trials. Other outcomes including the impact of molecular status on survival could not be determined based on available studies.","author":[{"dropping-particle":"","family":"Scott","given":"Brian J","non-dropping-particle":"","parse-names":false,"suffix":""},{"dropping-particle":"","family":"Oberheim-Bush","given":"Nancy A","non-dropping-particle":"","parse-names":false,"suffix":""},{"dropping-particle":"","family":"Kesari","given":"Santosh","non-dropping-particle":"","parse-names":false,"suffix":""}],"container-title":"Oncotarget","id":"ITEM-1","issue":"4","issued":{"date-parts":[["2016","1"]]},"language":"eng","page":"3740-3747","publisher-place":"United States","title":"Leptomeningeal metastasis in breast cancer - a systematic review.","type":"article-journal","volume":"7"},"uris":["http://www.mendeley.com/documents/?uuid=a809a622-e700-4a55-8ff4-5c9b17a89600"]}],"mendeley":{"formattedCitation":"&lt;sup&gt;11&lt;/sup&gt;","plainTextFormattedCitation":"11","previouslyFormattedCitation":"&lt;sup&gt;11&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11</w:t>
      </w:r>
      <w:r w:rsidRPr="003B3B59">
        <w:rPr>
          <w:rFonts w:ascii="Arial" w:eastAsia="Times New Roman" w:hAnsi="Arial" w:cs="Arial"/>
          <w:sz w:val="24"/>
          <w:szCs w:val="24"/>
        </w:rPr>
        <w:fldChar w:fldCharType="end"/>
      </w:r>
      <w:r w:rsidRPr="003B3B59">
        <w:rPr>
          <w:rFonts w:ascii="Arial" w:eastAsia="Times New Roman" w:hAnsi="Arial" w:cs="Arial"/>
          <w:sz w:val="24"/>
          <w:szCs w:val="24"/>
        </w:rPr>
        <w:t>.</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Thus, breast cancer leptomeningeal disease is an area of significant unmet need. Its relatively uncommon occurrence hinders the development of a standard approach to its management and the lack of a well annotated bank of tissue and cerebrospinal fluid hampers the development of relevant and meaningful research contributing to the need for this audit study in collecting such data.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b/>
          <w:bCs/>
          <w:sz w:val="24"/>
          <w:szCs w:val="24"/>
        </w:rPr>
      </w:pPr>
      <w:bookmarkStart w:id="52" w:name="_Toc10368460"/>
      <w:r w:rsidRPr="003B3B59">
        <w:rPr>
          <w:rFonts w:ascii="Arial" w:eastAsia="Times New Roman" w:hAnsi="Arial" w:cs="Arial"/>
          <w:b/>
          <w:bCs/>
          <w:sz w:val="24"/>
          <w:szCs w:val="24"/>
        </w:rPr>
        <w:t>Paraneoplastic neurological disorders</w:t>
      </w:r>
      <w:bookmarkEnd w:id="52"/>
      <w:r w:rsidRPr="003B3B59">
        <w:rPr>
          <w:rFonts w:ascii="Arial" w:eastAsia="Times New Roman" w:hAnsi="Arial" w:cs="Arial"/>
          <w:b/>
          <w:bCs/>
          <w:sz w:val="24"/>
          <w:szCs w:val="24"/>
        </w:rPr>
        <w:t xml:space="preserve"> (PND)</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Paraneoplastic neurological disorders are defined as remote effects of malignancy, not due to the presence of metastatic spread to the nervous system. PND are rare, occurring in less than 1% of women with breast cancer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{"citationItems":[{"id":"ITEM-1","itemData":{"DOI":"10.1007/s10549-017-4566-0","ISSN":"1573-7217 (Electronic)","PMID":"29116466","abstract":"PURPOSE: Paraneoplastic neurologic disease (PND) is an aberrant immune-mediated response against the nervous system triggered by malignancy. Given the rarity, a paucity of data describing breast cancer-related PND (BC-PND) exists; we sought to further examine this specific patient population. METHODS: We retrospectively identified patients at our institution from 1997 to 2016 with BC-PND. Retrospective review with a descriptive analysis determined factors associated with PND and BC, which were compared to national breast cancer median of age (61 years) and average stage at diagnosis (60% local disease). RESULTS: BC-PND was diagnosed in 56 female patients at a median age of 52.8 years. Only 20% of invasive cancer patients had local disease. The majority of patients were hormone receptor positive and Her2 negative. Neurological symptoms presented prior to BC diagnosis in 57.1% of patients. Of all patients, 30 (53.6%) had autoantibodies detected: Purkinje Cell Cytoplasmic Autoantibody Type-1 (PCA-1[anti-Yo]), n = 10; amphiphysin-IgG, n = 9; Anti-Neuronal Nuclear Autoantibody Type-2 (ANNA-2[anti-Ri]), n = 5; and others, n = 6. The most common neurologic findings were cerebellar ataxia, myelopathy, and myopathy. Immunotherapy benefit was found to be robust (21.6%), mild to moderate (52.9%), absent (17.6%), or indeterminate (7.8%). CONCLUSIONS: PND symptoms often presented prior to BC diagnosis, with the BC biologic subtype characteristics typical of the general BC population. BC diagnoses were often made at younger ages than that of the general BC population and with later-stage disease. Roughly 75% of patients benefited from immunotherapy. These data provide helpful information to providers treating this population of patients.","author":[{"dropping-particle":"","family":"Murphy","given":"Brittany L","non-dropping-particle":"","parse-names":false,"suffix":""},{"dropping-particle":"","family":"Zalewski","given":"Nicholas L","non-dropping-particle":"","parse-names":false,"suffix":""},{"dropping-particle":"","family":"Degnim","given":"Amy C","non-dropping-particle":"","parse-names":false,"suffix":""},{"dropping-particle":"","family":"McKeon","given":"Andrew","non-dropping-particle":"","parse-names":false,"suffix":""},{"dropping-particle":"","family":"Flanagan","given":"Eoin P","non-dropping-particle":"","parse-names":false,"suffix":""},{"dropping-particle":"","family":"Pittock","given":"Sean J","non-dropping-particle":"","parse-names":false,"suffix":""},{"dropping-particle":"","family":"Habermann","given":"Elizabeth B","non-dropping-particle":"","parse-names":false,"suffix":""}],"container-title":"Breast cancer research and treatment","id":"ITEM-1","issue":"3","issued":{"date-parts":[["2018","2"]]},"language":"eng","page":"771-778","publisher-place":"Netherlands","title":"Breast cancer-related paraneoplastic neurologic disease.","type":"article-journal","volume":"167"},"uris":["http://www.mendeley.com/documents/?uuid=c1be7fff-f0f2-45a8-b168-21176f0ec45f"]},{"id":"ITEM-2","itemData":{"DOI":"10.1186/s40164-016-0058-x","ISSN":"2162-3619 (Print)","PMID":"27800287","abstract":"Breast cancer is the most frequent cause of cancer of women in much of the world. In countries with screening programs, breast cancer is often detected before clinical symptoms are apparent, but occasionally the occurrence of a paraneoplastic syndrome precedes the identification of cancer. In breast cancer, there are known to be paraneoplastic endocrine syndromes and neurologic syndromes. The neurologic syndromes are often hard to identify and treat. The neurologic syndromes associated with breast cancer include cerebellar degeneration, sensorimotor neuropathy, retinopathy, stiff-persons syndrome, encephalitis, and opsoclonus-myoclonus. Most of these are mediated by antibodies against known neural antigens, although some cases appear to be mediated by non-humoral mechanisms. Treatments differ depending upon the syndrome type and etiology. Outcomes also vary depending upon duration of disease, the treatments used and the responsiveness of the underlying cancer. A thorough review of the published literature is provided along with recommendations for management and future research.","author":[{"dropping-particle":"","family":"Fanous","given":"Ibrahim","non-dropping-particle":"","parse-names":false,"suffix":""},{"dropping-particle":"","family":"Dillon","given":"Patrick","non-dropping-particle":"","parse-names":false,"suffix":""}],"container-title":"Experimental hematology &amp; oncology","id":"ITEM-2","issued":{"date-parts":[["2015"]]},"language":"eng","page":"29","publisher-place":"England","title":"Paraneoplastic neurological complications of breast cancer.","type":"article-journal","volume":"5"},"uris":["http://www.mendeley.com/documents/?uuid=c637bebc-e830-4ab6-9a0e-6d2fdbc7aaed"]}],"mendeley":{"formattedCitation":"&lt;sup&gt;12,13&lt;/sup&gt;","plainTextFormattedCitation":"12,13","previouslyFormattedCitation":"&lt;sup&gt;12,13&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12,13</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However, they are important because they frequently precede the diagnosis of the breast cancer primary and because they cause severe neurological disability. Current thinking is that they are caused by an autoimmune response to ‘onconeural’ antigens, aberrantly expressed antigens on tumours that are also present on CNS cells, although the precise immunopathogenic mechanisms are unknown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{"citationItems":[{"id":"ITEM-1","itemData":{"DOI":"10.1016/s0065-2423(07)44005-7","ISSN":"0065-2423 (Print)","PMID":"17682342","abstract":"Paraneoplastic neurological syndromes (PNS) are infrequent disorders that are associated with cancer. The syndromes are highly heterogeneous and often affect several areas of the nervous system. Among the most well-known syndromes are paraneoplastic encephalomyelitis, cerebellar degeneration, sensory neuronopathy, and Lambert-Eaton myastenic syndrome. There are various associated tumors, in particular small cell lung cancer, cancer of the breast and ovary, and thymoma. The onset of neurological symptoms often precedes the cancer diagnosis, and the recognition of a paraneoplastic syndrome should lead to immediate search for cancer. The etiology of the paraneoplastic syndromes is believed to be autoimmune. Antibodies to onconeural antigens, expressed in the tumor of the affected individual and in normal neurons, are found in many of the patients. These antibodies are useful markers for paraneoplastic etiology. The pathogenesis of the PNS is uncertain, but cellular immune responses are thought to be the main effector mechanism. The cornerstone of therapy is the identification and treatment of the underlying malignancy. In some of the disorders, immunosuppressive therapy is of additional benefit. The prognosis of the different PNS varies depending on the level of affection and the degree of neuronal death.","author":[{"dropping-particle":"","family":"Storstein","given":"Anette","non-dropping-particle":"","parse-names":false,"suffix":""},{"dropping-particle":"","family":"Vedeler","given":"Christian A","non-dropping-particle":"","parse-names":false,"suffix":""}],"container-title":"Advances in clinical chemistry","id":"ITEM-1","issued":{"date-parts":[["2007"]]},"language":"eng","page":"143-185","publisher-place":"United States","title":"Paraneoplastic neurological syndromes and onconeural antibodies: clinical and immunological aspects.","type":"article-journal","volume":"44"},"uris":["http://www.mendeley.com/documents/?uuid=8fb39807-c2e4-4595-9d33-c1fa4e9b6e0f"]}],"mendeley":{"formattedCitation":"&lt;sup&gt;14&lt;/sup&gt;","plainTextFormattedCitation":"14","previouslyFormattedCitation":"&lt;sup&gt;14&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14</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It is likely that there is an important cellular immune response, evidenced by the presence of lymphocytic infiltration and activated cytotoxic T lymphocytes in the CSF of affected patients.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PND may affect any part of the nervous system either focally (e.g. cerebellar degeneration) or diffusely (e.g. encephalomyelitis). Both the central and peripheral nervous system may be affected, with antigenic targets being either intracellular (both nuclear and cytoplasmic) or extracellular (receptors and ion channels). As a general rule, PND associated with antibodies against intracellular targets cause predominantly CNS disorders, while those associated with antibodies against extracellular antigens cause predominantly neuromuscular disorders. PND affecting the CNS are commonly associated with specific anti-neuronal antibodies, which are present in both serum and CSF. The most common PND associated with breast cancer are cerebellar degeneration, encephalomyelitis with rigidity and opsoclonus-myoclonus syndrome. The most common anti-neuronal antibody in breast cancer is anti-Yo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{"citationItems":[{"id":"ITEM-1","itemData":{"DOI":"10.1007/s10549-017-4566-0","ISSN":"1573-7217 (Electronic)","PMID":"29116466","abstract":"PURPOSE: Paraneoplastic neurologic disease (PND) is an aberrant immune-mediated response against the nervous system triggered by malignancy. Given the rarity, a paucity of data describing breast cancer-related PND (BC-PND) exists; we sought to further examine this specific patient population. METHODS: We retrospectively identified patients at our institution from 1997 to 2016 with BC-PND. Retrospective review with a descriptive analysis determined factors associated with PND and BC, which were compared to national breast cancer median of age (61 years) and average stage at diagnosis (60% local disease). RESULTS: BC-PND was diagnosed in 56 female patients at a median age of 52.8 years. Only 20% of invasive cancer patients had local disease. The majority of patients were hormone receptor positive and Her2 negative. Neurological symptoms presented prior to BC diagnosis in 57.1% of patients. Of all patients, 30 (53.6%) had autoantibodies detected: Purkinje Cell Cytoplasmic Autoantibody Type-1 (PCA-1[anti-Yo]), n = 10; amphiphysin-IgG, n = 9; Anti-Neuronal Nuclear Autoantibody Type-2 (ANNA-2[anti-Ri]), n = 5; and others, n = 6. The most common neurologic findings were cerebellar ataxia, myelopathy, and myopathy. Immunotherapy benefit was found to be robust (21.6%), mild to moderate (52.9%), absent (17.6%), or indeterminate (7.8%). CONCLUSIONS: PND symptoms often presented prior to BC diagnosis, with the BC biologic subtype characteristics typical of the general BC population. BC diagnoses were often made at younger ages than that of the general BC population and with later-stage disease. Roughly 75% of patients benefited from immunotherapy. These data provide helpful information to providers treating this population of patients.","author":[{"dropping-particle":"","family":"Murphy","given":"Brittany L","non-dropping-particle":"","parse-names":false,"suffix":""},{"dropping-particle":"","family":"Zalewski","given":"Nicholas L","non-dropping-particle":"","parse-names":false,"suffix":""},{"dropping-particle":"","family":"Degnim","given":"Amy C","non-dropping-particle":"","parse-names":false,"suffix":""},{"dropping-particle":"","family":"McKeon","given":"Andrew","non-dropping-particle":"","parse-names":false,"suffix":""},{"dropping-particle":"","family":"Flanagan","given":"Eoin P","non-dropping-particle":"","parse-names":false,"suffix":""},{"dropping-particle":"","family":"Pittock","given":"Sean J","non-dropping-particle":"","parse-names":false,"suffix":""},{"dropping-particle":"","family":"Habermann","given":"Elizabeth B","non-dropping-particle":"","parse-names":false,"suffix":""}],"container-title":"Breast cancer research and treatment","id":"ITEM-1","issue":"3","issued":{"date-parts":[["2018","2"]]},"language":"eng","page":"771-778","publisher-place":"Netherlands","title":"Breast cancer-related paraneoplastic neurologic disease.","type":"article-journal","volume":"167"},"uris":["http://www.mendeley.com/documents/?uuid=c1be7fff-f0f2-45a8-b168-21176f0ec45f"]}],"mendeley":{"formattedCitation":"&lt;sup&gt;12&lt;/sup&gt;","plainTextFormattedCitation":"12","previouslyFormattedCitation":"&lt;sup&gt;12&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12</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Most CNS syndromes respond poorly to immunomodulatory treatment although occasional improvement is seen when the underlying tumour is treated. In contrast, disorders affecting the neuromuscular junction e.g. Lambert-Eaton myasthenic syndrome (LEMS) do improve with treatments that remove the relevant antibodies directed against voltage-gated calcium channels </w:t>
      </w:r>
      <w:r w:rsidRPr="003B3B59">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{"citationItems":[{"id":"ITEM-1","itemData":{"DOI":"10.1111/j.1468-1331.2010.03019.x","ISSN":"1468-1331 (Electronic)","PMID":"20402760","abstract":"BACKGROUND: Important progress has been made in our understanding of the autoimmune neuromuscular transmission (NMT) disorders; myasthenia gravis (MG), Lambert-Eaton myasthenic syndrome (LEMS) and neuromyotonia (Isaacs' syndrome). METHODS: To prepare consensus guidelines for the treatment of the autoimmune NMT disorders, references retrieved from MEDLINE, EMBASE and the Cochrane Library were considered and statements prepared and agreed on by disease experts. CONCLUSIONS: Anticholinesterase drugs should be given first in the management of MG, but with some caution in patients with MuSK antibodies (good practice point). Plasma exchange is recommended in severe cases to induce remission and in preparation for surgery (recommendation level B). IvIg and plasma exchange are effective for the treatment of MG exacerbations (recommendation level A). For patients with non-thymomatous MG, thymectomy is recommended as an option to increase the probability of remission or improvement (recommendation level B). Once thymoma is diagnosed, thymectomy is indicated irrespective of MG severity (recommendation level A). Oral corticosteroids are first choice drugs when immunosuppressive drugs are necessary (good practice point). When long-term immunosuppression is necessary, azathioprine is recommended to allow tapering the steroids to the lowest possible dose whilst maintaining azathioprine (recommendation level A). 3,4-Diaminopyridine is recommended as symptomatic treatment and IvIG has a positive short-term effect in LEMS (good practice point). Neuromyotonia patients should be treated with an antiepileptic drug that reduces peripheral nerve hyperexcitability (good practice point). For paraneoplastic LEMS and neuromyotonia optimal treatment of the underlying tumour is essential (good practice point). Immunosuppressive treatment of LEMS and neuromyotonia should be similar to MG (good practice point).","author":[{"dropping-particle":"","family":"Skeie","given":"G O","non-dropping-particle":"","parse-names":false,"suffix":""},{"dropping-particle":"","family":"Apostolski","given":"S","non-dropping-particle":"","parse-names":false,"suffix":""},{"dropping-particle":"","family":"Evoli","given":"A","non-dropping-particle":"","parse-names":false,"suffix":""},{"dropping-particle":"","family":"Gilhus","given":"N E","non-dropping-particle":"","parse-names":false,"suffix":""},{"dropping-particle":"","family":"Illa","given":"I","non-dropping-particle":"","parse-names":false,"suffix":""},{"dropping-particle":"","family":"Harms","given":"L","non-dropping-particle":"","parse-names":false,"suffix":""},{"dropping-particle":"","family":"Hilton-Jones","given":"D","non-dropping-particle":"","parse-names":false,"suffix":""},{"dropping-particle":"","family":"Melms","given":"A","non-dropping-particle":"","parse-names":false,"suffix":""},{"dropping-particle":"","family":"Verschuuren","given":"J","non-dropping-particle":"","parse-names":false,"suffix":""},{"dropping-particle":"","family":"Horge","given":"H W","non-dropping-particle":"","parse-names":false,"suffix":""}],"container-title":"European journal of neurology","id":"ITEM-1","issue":"7","issued":{"date-parts":[["2010","7"]]},"language":"eng","page":"893-902","publisher-place":"England","title":"Guidelines for treatment of autoimmune neuromuscular transmission disorders.","type":"article-journal","volume":"17"},"uris":["http://www.mendeley.com/documents/?uuid=d6725af9-a235-403a-adde-94e4cc4edc2d"]},{"id":"ITEM-2","itemData":{"DOI":"10.1002/14651858.CD003279.pub3","ISSN":"1469-493X (Electronic)","PMID":"21328260","abstract":"BACKGROUND: Lambert-Eaton myasthenic syndrome (LEMS) is an autoimmune disorder of neuromuscular transmission. Treatments attempt to overcome the harmful autoimmune process, or improve residual neuromuscular transmission OBJECTIVES: The objective was to examine the efficacy of treatment in Lambert-Eaton myasthenic syndrome. SEARCH STRATEGY: We searched the Cochrane Neuromuscular Disease Group Specialized Register (12 October 2010), the Cochrane Central Register of Controlled Trials (CENTRAL) (12 October 2010, Issue 4 2010 in the Cochrane Library), MEDLINE (January 1966 to September 2010) and EMBASE (January 1980 to September 2010). SELECTION CRITERIA: All randomised or quasi-randomised trials of adults and children with a diagnosis of Lambert-Eaton myasthenic syndrome, with or without small-cell lung cancer, receiving any form of pharmacological or physical treatment. DATA COLLECTION AND ANALYSIS: All authors independently assessed studies for inclusion and extracted data. Study authors were contacted for missing information when possible. MAIN RESULTS: Four controlled trials of 3,4-diaminopyridine compared with placebo in a total of 54 participants with Lambert-Eaton myasthenic syndrome were eligible: three cross-over trials and one parallel group. Two were added at this update. One of these trials also assessed pyridostigmine in conjunction with 3,4-diaminopyridine. A further cross-over trial compared intravenous immunoglobulin (IVIg) to placebo in nine participants.Four trials of 3,4-diaminopyridine reported significant improvement in the primary outcome, muscle strength score, or myometric limb measurement for between hours and a week following treatment, and significant improvement in resting compound muscle action potential (CMAP) amplitude following 3,4-diaminopyridine, compared with placebo.A meta-analysis of the primary endpoint showed Quantitative Myasthenia Gravis (QMG) muscle score assessed between three and eight days was likely to improve by a mean of 2.44 points (95% confidence interval 3.6 to 1.22). Meta-analysis of the secondary endpoint CMAP amplitude also showed a mean improvement of 1.36 mV (95% confidence interval 0.99 to 1.72) over the same period. The risk of bias was determined to be low, and quality of evidence moderate to high.A single cross-over trial reported significant improvement in myometric limb strength and non-significant improvement in mean resting CMAP amplitude with IVIg compared to placebo. Clinical improvement last…","author":[{"dropping-particle":"","family":"Keogh","given":"Michael","non-dropping-particle":"","parse-names":false,"suffix":""},{"dropping-particle":"","family":"Sedehizadeh","given":"Saam","non-dropping-particle":"","parse-names":false,"suffix":""},{"dropping-particle":"","family":"Maddison","given":"Paul","non-dropping-particle":"","parse-names":false,"suffix":""}],"container-title":"The Cochrane database of systematic reviews","id":"ITEM-2","issue":"2","issued":{"date-parts":[["2011","2"]]},"language":"eng","page":"CD003279","publisher-place":"England","title":"Treatment for Lambert-Eaton myasthenic syndrome.","type":"article-journal"},"uris":["http://www.mendeley.com/documents/?uuid=a453f8de-6ddd-4716-8999-eccc4983e04d"]}],"mendeley":{"formattedCitation":"&lt;sup&gt;15,16&lt;/sup&gt;","plainTextFormattedCitation":"15,16","previouslyFormattedCitation":"&lt;sup&gt;15,16&lt;/sup&gt;"},"properties":{"noteIndex":0},"schema":"https://github.com/citation-style-language/schema/raw/master/csl-citation.json"}</w:instrText>
      </w:r>
      <w:r w:rsidRPr="003B3B59">
        <w:rPr>
          <w:rFonts w:ascii="Arial" w:eastAsia="Times New Roman" w:hAnsi="Arial" w:cs="Arial"/>
          <w:sz w:val="24"/>
          <w:szCs w:val="24"/>
        </w:rPr>
        <w:fldChar w:fldCharType="separate"/>
      </w:r>
      <w:r w:rsidRPr="003B3B59">
        <w:rPr>
          <w:rFonts w:ascii="Arial" w:eastAsia="Times New Roman" w:hAnsi="Arial" w:cs="Arial"/>
          <w:noProof/>
          <w:sz w:val="24"/>
          <w:szCs w:val="24"/>
          <w:vertAlign w:val="superscript"/>
        </w:rPr>
        <w:t>15,16</w:t>
      </w:r>
      <w:r w:rsidRPr="003B3B59">
        <w:rPr>
          <w:rFonts w:ascii="Arial" w:eastAsia="Times New Roman" w:hAnsi="Arial" w:cs="Arial"/>
          <w:sz w:val="24"/>
          <w:szCs w:val="24"/>
        </w:rPr>
        <w:fldChar w:fldCharType="end"/>
      </w:r>
      <w:r w:rsidRPr="003B3B59">
        <w:rPr>
          <w:rFonts w:ascii="Arial" w:eastAsia="Times New Roman" w:hAnsi="Arial" w:cs="Arial"/>
          <w:sz w:val="24"/>
          <w:szCs w:val="24"/>
        </w:rPr>
        <w:t xml:space="preserve">. The prognosis for the majority of PND is poor, even if the tumour is detected and treated, and patients are forced to remain in a severely disabled state.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Currently, there is a lack of active research into PND in general as well as in breast cancer specifically, as well as no centralised resource of relevant biological material for research.</w:t>
      </w:r>
    </w:p>
    <w:p w:rsidR="003B3B59" w:rsidRPr="003B3B59" w:rsidRDefault="003B3B59" w:rsidP="001C43B5">
      <w:pPr>
        <w:spacing w:after="0" w:line="360" w:lineRule="auto"/>
        <w:jc w:val="both"/>
        <w:rPr>
          <w:rFonts w:ascii="Arial" w:eastAsia="Times New Roman" w:hAnsi="Arial" w:cs="Arial"/>
          <w:color w:val="000000"/>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bCs/>
          <w:sz w:val="24"/>
          <w:szCs w:val="24"/>
        </w:rPr>
        <w:t xml:space="preserve">Logistically, The PRIMROSE Audit study anticipates using the trainee collaborative model </w:t>
      </w:r>
      <w:r w:rsidRPr="003B3B59">
        <w:rPr>
          <w:rFonts w:ascii="Arial" w:eastAsia="Times New Roman" w:hAnsi="Arial" w:cs="Times New Roman"/>
          <w:bCs/>
          <w:sz w:val="24"/>
          <w:szCs w:val="24"/>
        </w:rPr>
        <w:fldChar w:fldCharType="begin" w:fldLock="1"/>
      </w:r>
      <w:r>
        <w:rPr>
          <w:rFonts w:ascii="Arial" w:eastAsia="Times New Roman" w:hAnsi="Arial" w:cs="Times New Roman"/>
          <w:bCs/>
          <w:sz w:val="24"/>
          <w:szCs w:val="24"/>
        </w:rPr>
        <w:instrText>ADDIN CSL_CITATION {"citationItems":[{"id":"ITEM-1","itemData":{"DOI":"10.1016/j.clon.2019.06.019","ISSN":"1433-2981 (Electronic)","PMID":"31358346","author":[{"dropping-particle":"","family":"Cheng","given":"V W T","non-dropping-particle":"","parse-names":false,"suffix":""},{"dropping-particle":"","family":"Heetun","given":"A","non-dropping-particle":"","parse-names":false,"suffix":""},{"dropping-particle":"","family":"Robinson","given":"T","non-dropping-particle":"","parse-names":false,"suffix":""},{"dropping-particle":"","family":"Coles","given":"C E","non-dropping-particle":"","parse-names":false,"suffix":""},{"dropping-particle":"","family":"Palmieri","given":"C","non-dropping-particle":"","parse-names":false,"suffix":""},{"dropping-particle":"","family":"Rea","given":"D","non-dropping-particle":"","parse-names":false,"suffix":""},{"dropping-particle":"","family":"Copson","given":"E R","non-dropping-particle":"","parse-names":false,"suffix":""}],"container-title":"Clinical oncology (Royal College of Radiologists (Great Britain))","id":"ITEM-1","issue":"1","issued":{"date-parts":[["2020","1"]]},"language":"eng","page":"e16-e18","publisher-place":"England","title":"The Breast Cancer Trainees Research Collaborative Group: A New Multidisciplinary  Network to Facilitate Breast Cancer Research.","type":"article","volume":"32"},"uris":["http://www.mendeley.com/documents/?uuid=88cd918d-86f1-44e0-a5c0-59b9dc515a0d"]}],"mendeley":{"formattedCitation":"&lt;sup&gt;17&lt;/sup&gt;","plainTextFormattedCitation":"17","previouslyFormattedCitation":"&lt;sup&gt;17&lt;/sup&gt;"},"properties":{"noteIndex":0},"schema":"https://github.com/citation-style-language/schema/raw/master/csl-citation.json"}</w:instrText>
      </w:r>
      <w:r w:rsidRPr="003B3B59">
        <w:rPr>
          <w:rFonts w:ascii="Arial" w:eastAsia="Times New Roman" w:hAnsi="Arial" w:cs="Times New Roman"/>
          <w:bCs/>
          <w:sz w:val="24"/>
          <w:szCs w:val="24"/>
        </w:rPr>
        <w:fldChar w:fldCharType="separate"/>
      </w:r>
      <w:r w:rsidRPr="003B3B59">
        <w:rPr>
          <w:rFonts w:ascii="Arial" w:eastAsia="Times New Roman" w:hAnsi="Arial" w:cs="Times New Roman"/>
          <w:bCs/>
          <w:noProof/>
          <w:sz w:val="24"/>
          <w:szCs w:val="24"/>
          <w:vertAlign w:val="superscript"/>
        </w:rPr>
        <w:t>17</w:t>
      </w:r>
      <w:r w:rsidRPr="003B3B59">
        <w:rPr>
          <w:rFonts w:ascii="Arial" w:eastAsia="Times New Roman" w:hAnsi="Arial" w:cs="Times New Roman"/>
          <w:bCs/>
          <w:sz w:val="24"/>
          <w:szCs w:val="24"/>
        </w:rPr>
        <w:fldChar w:fldCharType="end"/>
      </w:r>
      <w:r w:rsidRPr="003B3B59">
        <w:rPr>
          <w:rFonts w:ascii="Arial" w:eastAsia="Times New Roman" w:hAnsi="Arial" w:cs="Times New Roman"/>
          <w:bCs/>
          <w:sz w:val="24"/>
          <w:szCs w:val="24"/>
        </w:rPr>
        <w:t xml:space="preserve"> to establish an observational database collecting presentation, diagnosis, management and outcome data from patients with newly diagnosed CNS involvement secondary to breast cancer in the UK.</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lastRenderedPageBreak/>
        <w:t>5.2 Rationale</w:t>
      </w: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There is an urgent need to better understand the outcomes and disease patterns after local therapy in the BCBM patient group in the context of current modern oncological treatment. Furthermore, an understanding of how local therapy influences quality of life and neurocognitive functioning in breast cancer patients is needed, particularly as patients may undergo a number of different local therapies over their disease course. Finally, it is recognised that there is inequitable access to specific types of local therapy nationwide. Mapping out the geographic variation in availability of these local therapies will help guide future policy and local clinical commissioning to improve breast cancer patient outcomes.</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Basic and translational research to understand the pathophysiology of breast cancer involving the CNS remains limited by a lack of access to annotated clinical material. Such research is needed if preventative and novel treatment strategies are to be developed. Moreover, there is currently a lack of basic information regarding the incidence and management of cerebral metastasis in the UK, how it may vary and its impact on patient outcomes. Furthermore, clinical studies have been hampered by a lack of a central resource to aid feasibility work; as well as, when open, to identify possible eligible patients. Finally, any future advances in systemic therapy may ultimately be limited, in certain breast cancer subtypes, by the development and progression of intracranial disease.</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0"/>
        </w:rPr>
        <w:t>Recent literature in the breast cancer brain metastasis has highlighted the need of the audit and related research. A recent literature review</w:t>
      </w:r>
      <w:r w:rsidRPr="003B3B59">
        <w:rPr>
          <w:rFonts w:ascii="Arial" w:eastAsia="Times New Roman" w:hAnsi="Arial" w:cs="Arial"/>
          <w:sz w:val="24"/>
          <w:szCs w:val="20"/>
        </w:rPr>
        <w:fldChar w:fldCharType="begin" w:fldLock="1"/>
      </w:r>
      <w:r>
        <w:rPr>
          <w:rFonts w:ascii="Arial" w:eastAsia="Times New Roman" w:hAnsi="Arial" w:cs="Arial"/>
          <w:sz w:val="24"/>
          <w:szCs w:val="20"/>
        </w:rPr>
        <w:instrText>ADDIN CSL_CITATION {"citationItems":[{"id":"ITEM-1","itemData":{"DOI":"10.1007/s10549-020-05552-2","ISBN":"0123456789","ISSN":"15737217","abstract":"Purpose: Breast cancer brain metastases (BCBM) are becoming an increasingly common diagnosis due to improved systemic control and more routine surveillance imaging. Treatment continues to require a multidisciplinary approach managing systemic and intracranial disease burden. Although, improvements have been made in the diagnosis and management of BCBM, brain metastasis patients continue to pose a challenge for practitioners. Methods: In this review, a group of medical oncologists, radiation oncologists, radiologists, breast surgeons, and neurosurgeons specializing in the treatment of breast cancer reviewed the available published literature and compiled a comprehensive review on the current state of BCBM. Results: We discuss the pathogenesis, epidemiology, diagnosis, treatment options (including systemic, surgical, and radiotherapy treatment modalities), and treatment response evaluation for BCBM. Furthermore, we discuss the ongoing prospective trials enrolling BCBM patients and their biologic rationale. Conclusions: BCBM management is an increasing clinical concern. Multidisciplinary management combining the strengths of surgical, systemic, and radiation treatment modalities with prospective trials incorporating knowledge from the basic and translational sciences will ultimately lead to improved clinical outcomes for BCBM patients.","author":[{"dropping-particle":"","family":"Mills","given":"Matthew N.","non-dropping-particle":"","parse-names":false,"suffix":""},{"dropping-particle":"","family":"Figura","given":"Nicholas B.","non-dropping-particle":"","parse-names":false,"suffix":""},{"dropping-particle":"","family":"Arrington","given":"John A.","non-dropping-particle":"","parse-names":false,"suffix":""},{"dropping-particle":"","family":"Yu","given":"Hsiang Hsuan Michael","non-dropping-particle":"","parse-names":false,"suffix":""},{"dropping-particle":"","family":"Etame","given":"Arnold B.","non-dropping-particle":"","parse-names":false,"suffix":""},{"dropping-particle":"","family":"Vogelbaum","given":"Michael A.","non-dropping-particle":"","parse-names":false,"suffix":""},{"dropping-particle":"","family":"Soliman","given":"Hatem","non-dropping-particle":"","parse-names":false,"suffix":""},{"dropping-particle":"","family":"Czerniecki","given":"Brian J.","non-dropping-particle":"","parse-names":false,"suffix":""},{"dropping-particle":"","family":"Forsyth","given":"Peter A.","non-dropping-particle":"","parse-names":false,"suffix":""},{"dropping-particle":"","family":"Han","given":"Hyo S.","non-dropping-particle":"","parse-names":false,"suffix":""},{"dropping-particle":"","family":"Ahmed","given":"Kamran A.","non-dropping-particle":"","parse-names":false,"suffix":""}],"container-title":"Breast Cancer Research and Treatment","id":"ITEM-1","issue":"2","issued":{"date-parts":[["2020"]]},"page":"279-300","publisher":"Springer US","title":"Management of brain metastases in breast cancer: a review of current practices and emerging treatments","type":"article-journal","volume":"180"},"uris":["http://www.mendeley.com/documents/?uuid=31c61c3c-e342-4f4d-a000-b6028c28c6bc"]}],"mendeley":{"formattedCitation":"&lt;sup&gt;3&lt;/sup&gt;","plainTextFormattedCitation":"3","previouslyFormattedCitation":"&lt;sup&gt;3&lt;/sup&gt;"},"properties":{"noteIndex":0},"schema":"https://github.com/citation-style-language/schema/raw/master/csl-citation.json"}</w:instrText>
      </w:r>
      <w:r w:rsidRPr="003B3B59">
        <w:rPr>
          <w:rFonts w:ascii="Arial" w:eastAsia="Times New Roman" w:hAnsi="Arial" w:cs="Arial"/>
          <w:sz w:val="24"/>
          <w:szCs w:val="20"/>
        </w:rPr>
        <w:fldChar w:fldCharType="separate"/>
      </w:r>
      <w:r w:rsidRPr="003B3B59">
        <w:rPr>
          <w:rFonts w:ascii="Arial" w:eastAsia="Times New Roman" w:hAnsi="Arial" w:cs="Arial"/>
          <w:noProof/>
          <w:sz w:val="24"/>
          <w:szCs w:val="20"/>
          <w:vertAlign w:val="superscript"/>
        </w:rPr>
        <w:t>3</w:t>
      </w:r>
      <w:r w:rsidRPr="003B3B59">
        <w:rPr>
          <w:rFonts w:ascii="Arial" w:eastAsia="Times New Roman" w:hAnsi="Arial" w:cs="Arial"/>
          <w:sz w:val="24"/>
          <w:szCs w:val="20"/>
        </w:rPr>
        <w:fldChar w:fldCharType="end"/>
      </w:r>
      <w:r w:rsidRPr="003B3B59">
        <w:rPr>
          <w:rFonts w:ascii="Arial" w:eastAsia="Times New Roman" w:hAnsi="Arial" w:cs="Arial"/>
          <w:sz w:val="24"/>
          <w:szCs w:val="20"/>
        </w:rPr>
        <w:t xml:space="preserve"> presented current updates on the presentation, prognosis and impact of treatments among breast cancer brain metastases patients. The review reported “significant heterogeneity of outcomes” within BCBM. A continuation of multidisciplinary approach where “as systemic disease treatment continues to improve, simultaneous improvement in BCBM management will be required”. This directly feeds into the aim of the development of a BCBM registry of understanding presentation and management practices. Another study investigating stage IV breast cancer using a publicly available cancer dataset in the world </w:t>
      </w:r>
      <w:r w:rsidRPr="003B3B59">
        <w:rPr>
          <w:rFonts w:ascii="Arial" w:eastAsia="Times New Roman" w:hAnsi="Arial" w:cs="Arial"/>
          <w:sz w:val="24"/>
          <w:szCs w:val="20"/>
        </w:rPr>
        <w:fldChar w:fldCharType="begin" w:fldLock="1"/>
      </w:r>
      <w:r>
        <w:rPr>
          <w:rFonts w:ascii="Arial" w:eastAsia="Times New Roman" w:hAnsi="Arial" w:cs="Arial"/>
          <w:sz w:val="24"/>
          <w:szCs w:val="20"/>
        </w:rPr>
        <w:instrText>ADDIN CSL_CITATION {"citationItems":[{"id":"ITEM-1","itemData":{"DOI":"10.1186/s12885-019-6311-z","ISSN":"14712407","PMID":"31718602","abstract":"BACKGROUND: The features and survival of stage IV breast cancer patients with different metastatic sites are poorly understood. This study aims to examine the clinicopathological features and survival of stage IV breast cancer patients according to different metastatic sites. METHODS: Using the Surveillance, Epidemiology, and End Results database, we restricted our study population to stage IV breast cancer patients diagnosed between 2010 to 2015. The clinicopathological features were examined by chi-square tests. Breast cancer-specific survival (BCSS) and overall survival (OS) were compared among patients with different metastatic sites by the Kaplan-Meier method with log-rank test. Univariable and multivariable analyses were also performed using the Cox proportional hazard model to identify statistically significant prognostic factors. RESULTS: A total of 18,322 patients were identified for survival analysis. Bone-only metastasis accounted for 39.80% of patients, followed by multiple metastasis (33.07%), lung metastasis (10.94%), liver metastasis (7.34%), other metastasis (7.34%), and brain metastasis (1.51%). The Kaplan-Meier plots showed that patients with bone metastasis had the best survival, while patients with brain metastasis had the worst survival in both BCSS and OS (p &lt; 0.001, for both). Multivariable analyses showed that age, race, marital status, grade, tumor subtype, tumor size, surgery of primary cancer, and a history of radiotherapy or chemotherapy were independent prognostic factors. CONCLUSION: Stage IV breast cancer patients have different clinicopathological characteristics and survival outcomes according to different metastatic sites. Patients with bone metastasis have the best prognosis, and brain metastasis is the most aggressive subgroup.","author":[{"dropping-particle":"","family":"Wang","given":"Ru","non-dropping-particle":"","parse-names":false,"suffix":""},{"dropping-particle":"","family":"Zhu","given":"Yayun","non-dropping-particle":"","parse-names":false,"suffix":""},{"dropping-particle":"","family":"Liu","given":"Xiaoxu","non-dropping-particle":"","parse-names":false,"suffix":""},{"dropping-particle":"","family":"Liao","given":"Xiaoqin","non-dropping-particle":"","parse-names":false,"suffix":""},{"dropping-particle":"","family":"He","given":"Jianjun","non-dropping-particle":"","parse-names":false,"suffix":""},{"dropping-particle":"","family":"Niu","given":"Ligang","non-dropping-particle":"","parse-names":false,"suffix":""}],"container-title":"BMC cancer","id":"ITEM-1","issue":"1","issued":{"date-parts":[["2019"]]},"page":"1091","publisher":"BMC Cancer","title":"The Clinicopathological features and survival outcomes of patients with different metastatic sites in stage IV breast cancer","type":"article-journal","volume":"19"},"uris":["http://www.mendeley.com/documents/?uuid=7d75b792-1522-48a4-b8e0-c0c6ee6aff2c"]}],"mendeley":{"formattedCitation":"&lt;sup&gt;18&lt;/sup&gt;","plainTextFormattedCitation":"18","previouslyFormattedCitation":"&lt;sup&gt;18&lt;/sup&gt;"},"properties":{"noteIndex":0},"schema":"https://github.com/citation-style-language/schema/raw/master/csl-citation.json"}</w:instrText>
      </w:r>
      <w:r w:rsidRPr="003B3B59">
        <w:rPr>
          <w:rFonts w:ascii="Arial" w:eastAsia="Times New Roman" w:hAnsi="Arial" w:cs="Arial"/>
          <w:sz w:val="24"/>
          <w:szCs w:val="20"/>
        </w:rPr>
        <w:fldChar w:fldCharType="separate"/>
      </w:r>
      <w:r w:rsidRPr="003B3B59">
        <w:rPr>
          <w:rFonts w:ascii="Arial" w:eastAsia="Times New Roman" w:hAnsi="Arial" w:cs="Arial"/>
          <w:noProof/>
          <w:sz w:val="24"/>
          <w:szCs w:val="20"/>
          <w:vertAlign w:val="superscript"/>
        </w:rPr>
        <w:t>18</w:t>
      </w:r>
      <w:r w:rsidRPr="003B3B59">
        <w:rPr>
          <w:rFonts w:ascii="Arial" w:eastAsia="Times New Roman" w:hAnsi="Arial" w:cs="Arial"/>
          <w:sz w:val="24"/>
          <w:szCs w:val="20"/>
        </w:rPr>
        <w:fldChar w:fldCharType="end"/>
      </w:r>
      <w:r w:rsidRPr="003B3B59">
        <w:rPr>
          <w:rFonts w:ascii="Arial" w:eastAsia="Times New Roman" w:hAnsi="Arial" w:cs="Arial"/>
          <w:sz w:val="24"/>
          <w:szCs w:val="20"/>
        </w:rPr>
        <w:t xml:space="preserve"> consisting of 18 US based population cancer registries found that brain metastases had the worst survival compared to bone metastasis. By initiating this audit in the UK, we can conduct investigations pertinent to affected UK cohorts with breast cancer and brain metastases</w:t>
      </w:r>
      <w:r w:rsidRPr="003B3B59">
        <w:rPr>
          <w:rFonts w:ascii="Arial" w:eastAsia="Times New Roman" w:hAnsi="Arial" w:cs="Arial"/>
          <w:sz w:val="24"/>
          <w:szCs w:val="24"/>
        </w:rPr>
        <w:t xml:space="preserve">. Similarly, another </w:t>
      </w:r>
      <w:r w:rsidRPr="003B3B59">
        <w:rPr>
          <w:rFonts w:ascii="Arial" w:eastAsia="Times New Roman" w:hAnsi="Arial" w:cs="Times New Roman"/>
          <w:sz w:val="24"/>
          <w:szCs w:val="24"/>
        </w:rPr>
        <w:t xml:space="preserve">cohort study used an electronic oncology registry to understand metastatic breast cancer </w:t>
      </w:r>
      <w:r w:rsidRPr="003B3B59">
        <w:rPr>
          <w:rFonts w:ascii="Arial" w:eastAsia="Times New Roman" w:hAnsi="Arial" w:cs="Times New Roman"/>
          <w:sz w:val="24"/>
          <w:szCs w:val="24"/>
        </w:rPr>
        <w:fldChar w:fldCharType="begin" w:fldLock="1"/>
      </w:r>
      <w:r>
        <w:rPr>
          <w:rFonts w:ascii="Arial" w:eastAsia="Times New Roman" w:hAnsi="Arial" w:cs="Times New Roman"/>
          <w:sz w:val="24"/>
          <w:szCs w:val="24"/>
        </w:rPr>
        <w:instrText>ADDIN CSL_CITATION {"citationItems":[{"id":"ITEM-1","itemData":{"DOI":"10.3747/co.27.5621","ISSN":"17187729","abstract":"Background Brain metastasis from breast cancer (bca) in young women is doubly devastating because both quality of life and life expectancy are significantly reduced. With new radiation technology and drugs that have emerged, survival is expected to increase for these young women. Methods Using the oacis and sardo patient databases, we identified 121 patients diagnosed with bca and brain metastasis between 2006 and 2016 at the University of Montreal Hospital Centre. Those patients were divided into Group A, patients who developed brain metastasis during the evolution of metastatic bca, and Group B, patients whose first metastasis was to the brain. For each group, we compared young patients (&lt;40 years of age) with older patients (≥40 years of age). Results Among the 121 patients with brain metastasis, median overall survival (mos) was significantly longer for those less than 40 years of age than for those 40 or more years of age (18 months vs. 4 months, p &lt; 0.001). With respect to the timing of brain metastasis, survival was significantly longer in Group B than in Group A (7 months vs. 4 months, p = 0.032). In Group A, mos was significantly longer for patients less than 40 years of age than for patients 40 or more years of age (18 months vs. 3 months, p = 0.0089). In Group B, the 2-year overall survival rate was 57% for patients less than 40 years of age and 12% for those 40 or more years of age (mos: not reached vs. 7 months; p = 0.259). Conclusions In our single-centre retrospective cohort of women with brain metastasis from bca, prognosis was better for young women (&lt;40 years) than for older women (≥40 years). Survival was also longer for patients whose initial metastasis was to the brain than for patients whose brain metastasis developed later in the disease course. In patients who received systemic treatment, median survival remained significantly higher in women less than 40 years of age. Further studies are needed to validate those results.","author":[{"dropping-particle":"","family":"Mustillo","given":"A.","non-dropping-particle":"","parse-names":false,"suffix":""},{"dropping-particle":"","family":"Ayoub","given":"J. P.","non-dropping-particle":"","parse-names":false,"suffix":""},{"dropping-particle":"","family":"Charpentier","given":"D.","non-dropping-particle":"","parse-names":false,"suffix":""},{"dropping-particle":"","family":"Yelle","given":"L.","non-dropping-particle":"","parse-names":false,"suffix":""},{"dropping-particle":"","family":"Florescu","given":"Marie","non-dropping-particle":"","parse-names":false,"suffix":""}],"container-title":"Current Oncology","id":"ITEM-1","issue":"1","issued":{"date-parts":[["2020"]]},"page":"39-45","title":"Prognosis in young women less than 40 years of age with brain metastasis from breast cancer","type":"article-journal","volume":"27"},"uris":["http://www.mendeley.com/documents/?uuid=93d9a529-e007-40df-b2d4-57fdbef78fb1"]}],"mendeley":{"formattedCitation":"&lt;sup&gt;19&lt;/sup&gt;","plainTextFormattedCitation":"19","previouslyFormattedCitation":"&lt;sup&gt;19&lt;/sup&gt;"},"properties":{"noteIndex":0},"schema":"https://github.com/citation-style-language/schema/raw/master/csl-citation.json"}</w:instrText>
      </w:r>
      <w:r w:rsidRPr="003B3B59">
        <w:rPr>
          <w:rFonts w:ascii="Arial" w:eastAsia="Times New Roman" w:hAnsi="Arial" w:cs="Times New Roman"/>
          <w:sz w:val="24"/>
          <w:szCs w:val="24"/>
        </w:rPr>
        <w:fldChar w:fldCharType="separate"/>
      </w:r>
      <w:r w:rsidRPr="003B3B59">
        <w:rPr>
          <w:rFonts w:ascii="Arial" w:eastAsia="Times New Roman" w:hAnsi="Arial" w:cs="Times New Roman"/>
          <w:noProof/>
          <w:sz w:val="24"/>
          <w:szCs w:val="24"/>
          <w:vertAlign w:val="superscript"/>
        </w:rPr>
        <w:t>19</w:t>
      </w:r>
      <w:r w:rsidRPr="003B3B59">
        <w:rPr>
          <w:rFonts w:ascii="Arial" w:eastAsia="Times New Roman" w:hAnsi="Arial" w:cs="Times New Roman"/>
          <w:sz w:val="24"/>
          <w:szCs w:val="24"/>
        </w:rPr>
        <w:fldChar w:fldCharType="end"/>
      </w:r>
      <w:r w:rsidRPr="003B3B59">
        <w:rPr>
          <w:rFonts w:ascii="Arial" w:eastAsia="Times New Roman" w:hAnsi="Arial" w:cs="Times New Roman"/>
          <w:sz w:val="24"/>
          <w:szCs w:val="24"/>
        </w:rPr>
        <w:t xml:space="preserve">. They were able to understand a rare diagnosis of LM and found that leptomeningeal carcinomatosis occurred in 21% of the study cohort overall (n = 25), but twice as frequently in women less than 40 years of age compared to women 40 or more years of age. They also found that </w:t>
      </w:r>
      <w:r w:rsidRPr="003B3B59">
        <w:rPr>
          <w:rFonts w:ascii="Arial" w:eastAsia="Times New Roman" w:hAnsi="Arial" w:cs="Times New Roman"/>
          <w:sz w:val="24"/>
          <w:szCs w:val="24"/>
        </w:rPr>
        <w:lastRenderedPageBreak/>
        <w:t>difference in treatment did not affect survival, because compared with their older counterparts, younger women with leptomeningeal carcinomatosis tended to experience longer survival</w:t>
      </w:r>
      <w:r w:rsidRPr="003B3B59">
        <w:rPr>
          <w:rFonts w:ascii="Arial" w:eastAsia="Times New Roman" w:hAnsi="Arial" w:cs="Times New Roman"/>
          <w:sz w:val="24"/>
          <w:szCs w:val="24"/>
        </w:rPr>
        <w:fldChar w:fldCharType="begin" w:fldLock="1"/>
      </w:r>
      <w:r>
        <w:rPr>
          <w:rFonts w:ascii="Arial" w:eastAsia="Times New Roman" w:hAnsi="Arial" w:cs="Times New Roman"/>
          <w:sz w:val="24"/>
          <w:szCs w:val="24"/>
        </w:rPr>
        <w:instrText>ADDIN CSL_CITATION {"citationItems":[{"id":"ITEM-1","itemData":{"DOI":"10.3747/co.27.5621","ISSN":"17187729","abstract":"Background Brain metastasis from breast cancer (bca) in young women is doubly devastating because both quality of life and life expectancy are significantly reduced. With new radiation technology and drugs that have emerged, survival is expected to increase for these young women. Methods Using the oacis and sardo patient databases, we identified 121 patients diagnosed with bca and brain metastasis between 2006 and 2016 at the University of Montreal Hospital Centre. Those patients were divided into Group A, patients who developed brain metastasis during the evolution of metastatic bca, and Group B, patients whose first metastasis was to the brain. For each group, we compared young patients (&lt;40 years of age) with older patients (≥40 years of age). Results Among the 121 patients with brain metastasis, median overall survival (mos) was significantly longer for those less than 40 years of age than for those 40 or more years of age (18 months vs. 4 months, p &lt; 0.001). With respect to the timing of brain metastasis, survival was significantly longer in Group B than in Group A (7 months vs. 4 months, p = 0.032). In Group A, mos was significantly longer for patients less than 40 years of age than for patients 40 or more years of age (18 months vs. 3 months, p = 0.0089). In Group B, the 2-year overall survival rate was 57% for patients less than 40 years of age and 12% for those 40 or more years of age (mos: not reached vs. 7 months; p = 0.259). Conclusions In our single-centre retrospective cohort of women with brain metastasis from bca, prognosis was better for young women (&lt;40 years) than for older women (≥40 years). Survival was also longer for patients whose initial metastasis was to the brain than for patients whose brain metastasis developed later in the disease course. In patients who received systemic treatment, median survival remained significantly higher in women less than 40 years of age. Further studies are needed to validate those results.","author":[{"dropping-particle":"","family":"Mustillo","given":"A.","non-dropping-particle":"","parse-names":false,"suffix":""},{"dropping-particle":"","family":"Ayoub","given":"J. P.","non-dropping-particle":"","parse-names":false,"suffix":""},{"dropping-particle":"","family":"Charpentier","given":"D.","non-dropping-particle":"","parse-names":false,"suffix":""},{"dropping-particle":"","family":"Yelle","given":"L.","non-dropping-particle":"","parse-names":false,"suffix":""},{"dropping-particle":"","family":"Florescu","given":"Marie","non-dropping-particle":"","parse-names":false,"suffix":""}],"container-title":"Current Oncology","id":"ITEM-1","issue":"1","issued":{"date-parts":[["2020"]]},"page":"39-45","title":"Prognosis in young women less than 40 years of age with brain metastasis from breast cancer","type":"article-journal","volume":"27"},"uris":["http://www.mendeley.com/documents/?uuid=93d9a529-e007-40df-b2d4-57fdbef78fb1"]}],"mendeley":{"formattedCitation":"&lt;sup&gt;19&lt;/sup&gt;","plainTextFormattedCitation":"19","previouslyFormattedCitation":"&lt;sup&gt;19&lt;/sup&gt;"},"properties":{"noteIndex":0},"schema":"https://github.com/citation-style-language/schema/raw/master/csl-citation.json"}</w:instrText>
      </w:r>
      <w:r w:rsidRPr="003B3B59">
        <w:rPr>
          <w:rFonts w:ascii="Arial" w:eastAsia="Times New Roman" w:hAnsi="Arial" w:cs="Times New Roman"/>
          <w:sz w:val="24"/>
          <w:szCs w:val="24"/>
        </w:rPr>
        <w:fldChar w:fldCharType="separate"/>
      </w:r>
      <w:r w:rsidRPr="003B3B59">
        <w:rPr>
          <w:rFonts w:ascii="Arial" w:eastAsia="Times New Roman" w:hAnsi="Arial" w:cs="Times New Roman"/>
          <w:noProof/>
          <w:sz w:val="24"/>
          <w:szCs w:val="24"/>
          <w:vertAlign w:val="superscript"/>
        </w:rPr>
        <w:t>19</w:t>
      </w:r>
      <w:r w:rsidRPr="003B3B59">
        <w:rPr>
          <w:rFonts w:ascii="Arial" w:eastAsia="Times New Roman" w:hAnsi="Arial" w:cs="Times New Roman"/>
          <w:sz w:val="24"/>
          <w:szCs w:val="24"/>
        </w:rPr>
        <w:fldChar w:fldCharType="end"/>
      </w:r>
      <w:r w:rsidRPr="003B3B59">
        <w:rPr>
          <w:rFonts w:ascii="Arial" w:eastAsia="Times New Roman" w:hAnsi="Arial" w:cs="Times New Roman"/>
          <w:sz w:val="24"/>
          <w:szCs w:val="24"/>
        </w:rPr>
        <w:t>.</w:t>
      </w:r>
    </w:p>
    <w:p w:rsidR="003B3B59" w:rsidRPr="003B3B59" w:rsidRDefault="003B3B59" w:rsidP="001C43B5">
      <w:pPr>
        <w:spacing w:after="0" w:line="360" w:lineRule="auto"/>
        <w:jc w:val="both"/>
        <w:rPr>
          <w:rFonts w:ascii="Arial" w:eastAsia="Times New Roman" w:hAnsi="Arial" w:cs="Arial"/>
          <w:sz w:val="24"/>
          <w:szCs w:val="24"/>
        </w:rPr>
      </w:pPr>
    </w:p>
    <w:p w:rsid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The development of a central audit documenting the clinical journey of patients presenting with BCBM, LM and PND will contribute towards overcoming these limitations through the conduct of an audit.</w:t>
      </w:r>
    </w:p>
    <w:p w:rsidR="003B3B59" w:rsidRPr="003B3B59" w:rsidRDefault="003B3B59" w:rsidP="001C43B5">
      <w:pPr>
        <w:keepNext/>
        <w:spacing w:before="360" w:after="120" w:line="360" w:lineRule="auto"/>
        <w:ind w:left="993" w:hanging="993"/>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5.3 Primary Objectives</w:t>
      </w:r>
    </w:p>
    <w:p w:rsidR="003B3B59" w:rsidRPr="003B3B59" w:rsidRDefault="003B3B59" w:rsidP="001C43B5">
      <w:pPr>
        <w:numPr>
          <w:ilvl w:val="2"/>
          <w:numId w:val="9"/>
        </w:numPr>
        <w:autoSpaceDE w:val="0"/>
        <w:autoSpaceDN w:val="0"/>
        <w:adjustRightInd w:val="0"/>
        <w:spacing w:after="0" w:line="360" w:lineRule="auto"/>
        <w:ind w:left="709" w:hanging="283"/>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report the survival of patients diagnosed with CNS involvement secondary to breast cancer.</w:t>
      </w:r>
    </w:p>
    <w:p w:rsidR="003B3B59" w:rsidRPr="003B3B59" w:rsidRDefault="003B3B59" w:rsidP="001C43B5">
      <w:pPr>
        <w:numPr>
          <w:ilvl w:val="2"/>
          <w:numId w:val="9"/>
        </w:numPr>
        <w:autoSpaceDE w:val="0"/>
        <w:autoSpaceDN w:val="0"/>
        <w:adjustRightInd w:val="0"/>
        <w:spacing w:after="0" w:line="360" w:lineRule="auto"/>
        <w:ind w:left="709" w:hanging="283"/>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 xml:space="preserve">To describe the current practice in diagnosis, staging and management of metastatic disease in the central nervous system in relation to national and international guidelines, including the NICE guidelines for the management of brain metastases in adults (NICE Guideline 99, published in July 2018), European Association of Neuro-Oncology (2017) and the NCCN guidelines (Version 1.2018 Central Nervous System Cancers). </w:t>
      </w:r>
    </w:p>
    <w:p w:rsidR="003B3B59" w:rsidRPr="003B3B59" w:rsidRDefault="003B3B59" w:rsidP="001C43B5">
      <w:pPr>
        <w:keepNext/>
        <w:numPr>
          <w:ilvl w:val="1"/>
          <w:numId w:val="22"/>
        </w:numPr>
        <w:spacing w:before="360" w:after="120" w:line="360" w:lineRule="auto"/>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 xml:space="preserve"> Secondary Objectives</w:t>
      </w:r>
    </w:p>
    <w:p w:rsidR="003B3B59" w:rsidRPr="003B3B59" w:rsidRDefault="003B3B59" w:rsidP="001C43B5">
      <w:pPr>
        <w:numPr>
          <w:ilvl w:val="2"/>
          <w:numId w:val="9"/>
        </w:numPr>
        <w:autoSpaceDE w:val="0"/>
        <w:autoSpaceDN w:val="0"/>
        <w:adjustRightInd w:val="0"/>
        <w:spacing w:after="0" w:line="360" w:lineRule="auto"/>
        <w:ind w:left="709" w:hanging="283"/>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define the incidence of metastatic breast cancer involving the central nervous system in the UK.</w:t>
      </w:r>
    </w:p>
    <w:p w:rsidR="003B3B59" w:rsidRPr="003B3B59" w:rsidRDefault="003B3B59" w:rsidP="001C43B5">
      <w:pPr>
        <w:numPr>
          <w:ilvl w:val="2"/>
          <w:numId w:val="9"/>
        </w:numPr>
        <w:autoSpaceDE w:val="0"/>
        <w:autoSpaceDN w:val="0"/>
        <w:adjustRightInd w:val="0"/>
        <w:spacing w:after="0" w:line="360" w:lineRule="auto"/>
        <w:ind w:left="709" w:hanging="283"/>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To evaluate the outcomes of patients treated for breast cancer related central nervous system metastases in the UK.</w:t>
      </w:r>
    </w:p>
    <w:p w:rsidR="003B3B59" w:rsidRPr="003B3B59" w:rsidRDefault="003B3B59" w:rsidP="001C43B5">
      <w:pPr>
        <w:numPr>
          <w:ilvl w:val="2"/>
          <w:numId w:val="9"/>
        </w:numPr>
        <w:autoSpaceDE w:val="0"/>
        <w:autoSpaceDN w:val="0"/>
        <w:adjustRightInd w:val="0"/>
        <w:spacing w:after="0" w:line="360" w:lineRule="auto"/>
        <w:ind w:left="709" w:hanging="283"/>
        <w:jc w:val="both"/>
        <w:rPr>
          <w:rFonts w:ascii="Arial" w:eastAsia="Times New Roman" w:hAnsi="Arial" w:cs="Arial"/>
          <w:color w:val="000000"/>
          <w:sz w:val="24"/>
          <w:szCs w:val="24"/>
          <w:lang w:eastAsia="en-GB"/>
        </w:rPr>
      </w:pPr>
      <w:r w:rsidRPr="003B3B59">
        <w:rPr>
          <w:rFonts w:ascii="Arial" w:eastAsia="Times New Roman" w:hAnsi="Arial" w:cs="Times New Roman"/>
          <w:sz w:val="24"/>
          <w:szCs w:val="24"/>
        </w:rPr>
        <w:t>To inform and help in the development of potential prospective studies and clinical trials.</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numPr>
          <w:ilvl w:val="2"/>
          <w:numId w:val="9"/>
        </w:numPr>
        <w:autoSpaceDE w:val="0"/>
        <w:autoSpaceDN w:val="0"/>
        <w:adjustRightInd w:val="0"/>
        <w:spacing w:after="0" w:line="360" w:lineRule="auto"/>
        <w:ind w:left="709" w:hanging="283"/>
        <w:jc w:val="both"/>
        <w:rPr>
          <w:rFonts w:ascii="Arial" w:eastAsia="Times New Roman" w:hAnsi="Arial" w:cs="Arial"/>
          <w:color w:val="000000"/>
          <w:sz w:val="24"/>
          <w:szCs w:val="24"/>
          <w:lang w:eastAsia="en-GB"/>
        </w:rPr>
      </w:pPr>
      <w:bookmarkStart w:id="53" w:name="_Toc32578426"/>
      <w:r w:rsidRPr="003B3B59">
        <w:rPr>
          <w:rFonts w:ascii="Arial" w:eastAsia="Times New Roman" w:hAnsi="Arial" w:cs="Times New Roman"/>
          <w:sz w:val="24"/>
          <w:szCs w:val="24"/>
        </w:rPr>
        <w:br w:type="page"/>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lastRenderedPageBreak/>
        <w:t>5.5 Risk and Benefits</w:t>
      </w:r>
      <w:bookmarkEnd w:id="53"/>
    </w:p>
    <w:p w:rsidR="003B3B59" w:rsidRPr="003B3B59" w:rsidRDefault="003B3B59" w:rsidP="001C43B5">
      <w:pPr>
        <w:keepNext/>
        <w:spacing w:before="360" w:after="0" w:line="360" w:lineRule="auto"/>
        <w:ind w:left="778" w:hanging="436"/>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5.5.1 Potential Risk</w:t>
      </w:r>
    </w:p>
    <w:p w:rsidR="003B3B59" w:rsidRPr="003B3B59" w:rsidRDefault="003B3B59" w:rsidP="001C43B5">
      <w:pPr>
        <w:spacing w:before="240"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This is an audit study and does not involve treatment arms, medical devices or products. All data collected forms part of the routine clinical care for all patients with CNS involvement secondary to breast cancer and hence there are no patient reported outcomes. </w:t>
      </w:r>
    </w:p>
    <w:p w:rsidR="003B3B59" w:rsidRPr="003B3B59" w:rsidRDefault="003B3B59" w:rsidP="001C43B5">
      <w:pPr>
        <w:spacing w:before="240"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There is no additional risk for the patient above that of routine care.</w:t>
      </w:r>
    </w:p>
    <w:p w:rsidR="003B3B59" w:rsidRPr="003B3B59" w:rsidRDefault="003B3B59" w:rsidP="001C43B5">
      <w:pPr>
        <w:keepNext/>
        <w:spacing w:before="360" w:after="240" w:line="360" w:lineRule="auto"/>
        <w:ind w:left="778" w:hanging="436"/>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5.5.2 Potential Benefits</w:t>
      </w: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The audit will function as an anonymised research database enabling research in rare, under-investigated late stage cancer diagnosis. Meeting the objectives outlined in sub-section 5.3 and 5.4 would mean contributing further to the understanding of BCBM. B</w:t>
      </w:r>
      <w:r w:rsidRPr="003B3B59">
        <w:rPr>
          <w:rFonts w:ascii="Arial" w:eastAsia="Times New Roman" w:hAnsi="Arial" w:cs="Times New Roman"/>
          <w:sz w:val="24"/>
          <w:szCs w:val="24"/>
        </w:rPr>
        <w:t>enefits include review of incidence/outcomes of the disease, review of current practice in terms of diagnosis/treatment and may help guide best practice guidelines for diagnosis, care and treatment of CNS involvement secondary to breast cancer in the future</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Such research demonstrates the benefits of building a database to conduct an audit to understand more about </w:t>
      </w:r>
      <w:r w:rsidRPr="003B3B59">
        <w:rPr>
          <w:rFonts w:ascii="Arial" w:eastAsia="Times New Roman" w:hAnsi="Arial" w:cs="Times New Roman"/>
          <w:sz w:val="24"/>
          <w:szCs w:val="24"/>
        </w:rPr>
        <w:t xml:space="preserve">CNS involvement secondary to breast cancer </w:t>
      </w:r>
      <w:r w:rsidRPr="003B3B59">
        <w:rPr>
          <w:rFonts w:ascii="Arial" w:eastAsia="Times New Roman" w:hAnsi="Arial" w:cs="Arial"/>
          <w:sz w:val="24"/>
          <w:szCs w:val="24"/>
        </w:rPr>
        <w:t xml:space="preserve">care. </w:t>
      </w:r>
    </w:p>
    <w:p w:rsidR="003B3B59" w:rsidRPr="003B3B59" w:rsidRDefault="003B3B59" w:rsidP="001C43B5">
      <w:pPr>
        <w:keepNext/>
        <w:pageBreakBefore/>
        <w:numPr>
          <w:ilvl w:val="0"/>
          <w:numId w:val="9"/>
        </w:numPr>
        <w:spacing w:after="360" w:line="360" w:lineRule="auto"/>
        <w:ind w:left="426" w:hanging="426"/>
        <w:jc w:val="both"/>
        <w:outlineLvl w:val="0"/>
        <w:rPr>
          <w:rFonts w:ascii="Arial" w:eastAsia="Times New Roman" w:hAnsi="Arial" w:cs="Arial"/>
          <w:b/>
          <w:bCs/>
          <w:sz w:val="32"/>
          <w:szCs w:val="24"/>
        </w:rPr>
      </w:pPr>
      <w:bookmarkStart w:id="54" w:name="_Toc32578429"/>
      <w:bookmarkStart w:id="55" w:name="_Toc38877238"/>
      <w:bookmarkStart w:id="56" w:name="_Toc42020747"/>
      <w:bookmarkStart w:id="57" w:name="_Toc42077784"/>
      <w:bookmarkStart w:id="58" w:name="_Toc44574199"/>
      <w:r w:rsidRPr="003B3B59">
        <w:rPr>
          <w:rFonts w:ascii="Arial" w:eastAsia="Times New Roman" w:hAnsi="Arial" w:cs="Arial"/>
          <w:b/>
          <w:bCs/>
          <w:sz w:val="32"/>
          <w:szCs w:val="24"/>
        </w:rPr>
        <w:lastRenderedPageBreak/>
        <w:t>Study Design</w:t>
      </w:r>
      <w:bookmarkEnd w:id="54"/>
      <w:bookmarkEnd w:id="55"/>
      <w:bookmarkEnd w:id="56"/>
      <w:bookmarkEnd w:id="57"/>
      <w:bookmarkEnd w:id="58"/>
    </w:p>
    <w:p w:rsidR="003B3B59" w:rsidRPr="003B3B59" w:rsidRDefault="003B3B59" w:rsidP="001C43B5">
      <w:pPr>
        <w:spacing w:after="0" w:line="360" w:lineRule="auto"/>
        <w:jc w:val="both"/>
        <w:rPr>
          <w:rFonts w:ascii="Arial" w:eastAsia="Times New Roman" w:hAnsi="Arial" w:cs="Times New Roman"/>
          <w:b/>
          <w:sz w:val="24"/>
          <w:szCs w:val="24"/>
        </w:rPr>
      </w:pPr>
      <w:bookmarkStart w:id="59" w:name="_Hlk40946110"/>
      <w:bookmarkStart w:id="60" w:name="_Toc536482927"/>
      <w:bookmarkStart w:id="61" w:name="_Toc536513863"/>
      <w:bookmarkStart w:id="62" w:name="_Toc536514050"/>
      <w:bookmarkStart w:id="63" w:name="_Toc86859"/>
      <w:bookmarkStart w:id="64" w:name="_Toc906701"/>
      <w:bookmarkStart w:id="65" w:name="_Toc10368464"/>
      <w:r w:rsidRPr="003B3B59">
        <w:rPr>
          <w:rFonts w:ascii="Arial" w:eastAsia="Times New Roman" w:hAnsi="Arial" w:cs="Times New Roman"/>
          <w:sz w:val="24"/>
          <w:szCs w:val="24"/>
        </w:rPr>
        <w:t>This is a prospective observational multicentre audit. Patients with histological confirmed locally advanced breast cancer and</w:t>
      </w:r>
      <w:r w:rsidRPr="003B3B59">
        <w:rPr>
          <w:rFonts w:ascii="Arial" w:eastAsia="Times New Roman" w:hAnsi="Arial" w:cs="Times New Roman"/>
          <w:color w:val="1F497D"/>
          <w:sz w:val="24"/>
          <w:szCs w:val="24"/>
        </w:rPr>
        <w:t xml:space="preserve"> </w:t>
      </w:r>
      <w:r w:rsidRPr="003B3B59">
        <w:rPr>
          <w:rFonts w:ascii="Arial" w:eastAsia="Times New Roman" w:hAnsi="Arial" w:cs="Times New Roman"/>
          <w:sz w:val="24"/>
          <w:szCs w:val="24"/>
        </w:rPr>
        <w:t>who meet the entry criteria will be registered, and data will be collected for these patients (informed consent is not required).</w:t>
      </w:r>
    </w:p>
    <w:bookmarkEnd w:id="59"/>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6.1 Study Setting</w:t>
      </w:r>
    </w:p>
    <w:p w:rsidR="003B3B59" w:rsidRPr="003B3B59" w:rsidRDefault="003B3B59" w:rsidP="001C43B5">
      <w:pPr>
        <w:keepNext/>
        <w:spacing w:before="360" w:after="0" w:line="360" w:lineRule="auto"/>
        <w:ind w:left="778" w:hanging="436"/>
        <w:outlineLvl w:val="2"/>
        <w:rPr>
          <w:rFonts w:ascii="Arial" w:eastAsia="Times New Roman" w:hAnsi="Arial" w:cs="Times New Roman"/>
          <w:b/>
          <w:bCs/>
          <w:sz w:val="24"/>
          <w:szCs w:val="24"/>
        </w:rPr>
      </w:pPr>
      <w:bookmarkStart w:id="66" w:name="_Toc402785523"/>
      <w:bookmarkStart w:id="67" w:name="_Ref525724401"/>
      <w:bookmarkStart w:id="68" w:name="_Toc11312060"/>
      <w:bookmarkEnd w:id="60"/>
      <w:bookmarkEnd w:id="61"/>
      <w:bookmarkEnd w:id="62"/>
      <w:bookmarkEnd w:id="63"/>
      <w:bookmarkEnd w:id="64"/>
      <w:bookmarkEnd w:id="65"/>
      <w:r w:rsidRPr="003B3B59">
        <w:rPr>
          <w:rFonts w:ascii="Arial" w:eastAsia="Times New Roman" w:hAnsi="Arial" w:cs="Times New Roman"/>
          <w:b/>
          <w:bCs/>
          <w:sz w:val="24"/>
          <w:szCs w:val="24"/>
        </w:rPr>
        <w:t xml:space="preserve">6.1.1 Selection of </w:t>
      </w:r>
      <w:bookmarkEnd w:id="66"/>
      <w:r w:rsidRPr="003B3B59">
        <w:rPr>
          <w:rFonts w:ascii="Arial" w:eastAsia="Times New Roman" w:hAnsi="Arial" w:cs="Times New Roman"/>
          <w:b/>
          <w:bCs/>
          <w:sz w:val="24"/>
          <w:szCs w:val="24"/>
        </w:rPr>
        <w:t>Participating Sites</w:t>
      </w:r>
      <w:bookmarkEnd w:id="67"/>
      <w:bookmarkEnd w:id="68"/>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All oncological and neurosurgical centres in the UK treating breast cancer or CNS involvement will be eligible to participate in the audit study. </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bCs/>
          <w:sz w:val="24"/>
          <w:szCs w:val="24"/>
        </w:rPr>
        <w:t>Logistically</w:t>
      </w:r>
      <w:r w:rsidRPr="003B3B59">
        <w:rPr>
          <w:rFonts w:ascii="Arial" w:eastAsia="Times New Roman" w:hAnsi="Arial" w:cs="Times New Roman"/>
          <w:sz w:val="24"/>
          <w:szCs w:val="24"/>
        </w:rPr>
        <w:t xml:space="preserve">, we anticipate the majority of cases will be identified by surgeons, oncologists or neurologists either sitting within breast and neuro-oncology multidisciplinary team meetings or via cases seen in the outpatient or ward setting. Relevant trainees from across the UK will be invited to participate in the study through the National Research Collaborative network, recently established Breast Cancer </w:t>
      </w:r>
      <w:r w:rsidRPr="003B3B59">
        <w:rPr>
          <w:rFonts w:ascii="Arial" w:eastAsia="Times New Roman" w:hAnsi="Arial" w:cs="Times New Roman"/>
          <w:bCs/>
          <w:sz w:val="24"/>
          <w:szCs w:val="24"/>
        </w:rPr>
        <w:t>Trainee Collaborative model</w:t>
      </w:r>
      <w:r w:rsidRPr="003B3B59">
        <w:rPr>
          <w:rFonts w:ascii="Arial" w:eastAsia="Times New Roman" w:hAnsi="Arial" w:cs="Times New Roman"/>
          <w:bCs/>
          <w:sz w:val="24"/>
          <w:szCs w:val="24"/>
        </w:rPr>
        <w:fldChar w:fldCharType="begin" w:fldLock="1"/>
      </w:r>
      <w:r w:rsidRPr="003B3B59">
        <w:rPr>
          <w:rFonts w:ascii="Arial" w:eastAsia="Times New Roman" w:hAnsi="Arial" w:cs="Times New Roman"/>
          <w:bCs/>
          <w:sz w:val="24"/>
          <w:szCs w:val="24"/>
        </w:rPr>
        <w:instrText>ADDIN CSL_CITATION {"citationItems":[{"id":"ITEM-1","itemData":{"DOI":"10.1016/j.clon.2019.06.019","ISSN":"1433-2981 (Electronic)","PMID":"31358346","author":[{"dropping-particle":"","family":"Cheng","given":"V W T","non-dropping-particle":"","parse-names":false,"suffix":""},{"dropping-particle":"","family":"Heetun","given":"A","non-dropping-particle":"","parse-names":false,"suffix":""},{"dropping-particle":"","family":"Robinson","given":"T","non-dropping-particle":"","parse-names":false,"suffix":""},{"dropping-particle":"","family":"Coles","given":"C E","non-dropping-particle":"","parse-names":false,"suffix":""},{"dropping-particle":"","family":"Palmieri","given":"C","non-dropping-particle":"","parse-names":false,"suffix":""},{"dropping-particle":"","family":"Rea","given":"D","non-dropping-particle":"","parse-names":false,"suffix":""},{"dropping-particle":"","family":"Copson","given":"E R","non-dropping-particle":"","parse-names":false,"suffix":""}],"container-title":"Clinical oncology (Royal College of Radiologists (Great Britain))","id":"ITEM-1","issue":"1","issued":{"date-parts":[["2020","1"]]},"language":"eng","page":"e16-e18","publisher-place":"England","title":"The Breast Cancer Trainees Research Collaborative Group: A New Multidisciplinary  Network to Facilitate Breast Cancer Research.","type":"article","volume":"32"},"uris":["http://www.mendeley.com/documents/?uuid=88cd918d-86f1-44e0-a5c0-59b9dc515a0d"]}],"mendeley":{"formattedCitation":"&lt;sup&gt;17&lt;/sup&gt;","plainTextFormattedCitation":"17","previouslyFormattedCitation":"&lt;sup&gt;17&lt;/sup&gt;"},"properties":{"noteIndex":0},"schema":"https://github.com/citation-style-language/schema/raw/master/csl-citation.json"}</w:instrText>
      </w:r>
      <w:r w:rsidRPr="003B3B59">
        <w:rPr>
          <w:rFonts w:ascii="Arial" w:eastAsia="Times New Roman" w:hAnsi="Arial" w:cs="Times New Roman"/>
          <w:bCs/>
          <w:sz w:val="24"/>
          <w:szCs w:val="24"/>
        </w:rPr>
        <w:fldChar w:fldCharType="separate"/>
      </w:r>
      <w:r w:rsidRPr="003B3B59">
        <w:rPr>
          <w:rFonts w:ascii="Arial" w:eastAsia="Times New Roman" w:hAnsi="Arial" w:cs="Times New Roman"/>
          <w:bCs/>
          <w:noProof/>
          <w:sz w:val="24"/>
          <w:szCs w:val="24"/>
          <w:vertAlign w:val="superscript"/>
        </w:rPr>
        <w:t>17</w:t>
      </w:r>
      <w:r w:rsidRPr="003B3B59">
        <w:rPr>
          <w:rFonts w:ascii="Arial" w:eastAsia="Times New Roman" w:hAnsi="Arial" w:cs="Times New Roman"/>
          <w:bCs/>
          <w:sz w:val="24"/>
          <w:szCs w:val="24"/>
        </w:rPr>
        <w:fldChar w:fldCharType="end"/>
      </w:r>
      <w:r w:rsidRPr="003B3B59">
        <w:rPr>
          <w:rFonts w:ascii="Arial" w:eastAsia="Times New Roman" w:hAnsi="Arial" w:cs="Times New Roman"/>
          <w:bCs/>
          <w:sz w:val="24"/>
          <w:szCs w:val="24"/>
        </w:rPr>
        <w:t xml:space="preserve"> </w:t>
      </w:r>
      <w:r w:rsidRPr="003B3B59">
        <w:rPr>
          <w:rFonts w:ascii="Arial" w:eastAsia="Times New Roman" w:hAnsi="Arial" w:cs="Times New Roman"/>
          <w:sz w:val="24"/>
          <w:szCs w:val="24"/>
        </w:rPr>
        <w:t>and other relevant professional bodies. We plan to engage with the Society of British Neurological Surgeons (SBNS), the joint Liverpool Manchester North West Surgical Trials Centre (Director Professor Nigel Bundred), one of five national Surgical Clinical Trials Units, trainee networks and, once all ethics have been received, we will also approach individual neurological centres.</w:t>
      </w:r>
    </w:p>
    <w:p w:rsidR="003B3B59" w:rsidRPr="003B3B59" w:rsidRDefault="003B3B59" w:rsidP="001C43B5">
      <w:pPr>
        <w:spacing w:after="0" w:line="360" w:lineRule="auto"/>
        <w:jc w:val="both"/>
        <w:rPr>
          <w:rFonts w:ascii="Arial" w:eastAsia="Times New Roman" w:hAnsi="Arial" w:cs="Times New Roman"/>
          <w:sz w:val="24"/>
          <w:szCs w:val="24"/>
        </w:rPr>
      </w:pPr>
      <w:bookmarkStart w:id="69" w:name="_Toc536482929"/>
      <w:bookmarkStart w:id="70" w:name="_Toc536513865"/>
      <w:bookmarkStart w:id="71" w:name="_Toc536514052"/>
      <w:bookmarkStart w:id="72" w:name="_Toc86861"/>
      <w:bookmarkStart w:id="73" w:name="_Toc906703"/>
      <w:bookmarkStart w:id="74" w:name="_Toc10368466"/>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The study intends to collaborate with the British Neurological Surveillance Unit (BNSU) to use their well-established network to identify relevant cases presenting to neurologist, in particular suspected cases of PND. It is accepted that diagnosing PND can be problematic. Where a diagnosis of PND is probable or possible, these patients may still be recruited but will be recorded as probable or possible cases of PND within the database.</w:t>
      </w:r>
      <w:bookmarkEnd w:id="69"/>
      <w:bookmarkEnd w:id="70"/>
      <w:bookmarkEnd w:id="71"/>
      <w:bookmarkEnd w:id="72"/>
      <w:bookmarkEnd w:id="73"/>
      <w:bookmarkEnd w:id="74"/>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Details of reviewing the sites and the formal greenlighting processes will be kept with TMG.</w:t>
      </w:r>
    </w:p>
    <w:p w:rsidR="003B3B59" w:rsidRPr="003B3B59" w:rsidRDefault="003B3B59" w:rsidP="001C43B5">
      <w:pPr>
        <w:spacing w:after="0" w:line="360" w:lineRule="auto"/>
        <w:jc w:val="both"/>
        <w:rPr>
          <w:rFonts w:ascii="Arial" w:eastAsia="Times New Roman" w:hAnsi="Arial" w:cs="Times New Roman"/>
          <w:bCs/>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bookmarkStart w:id="75" w:name="_Toc520116928"/>
      <w:bookmarkStart w:id="76" w:name="_Toc520116933"/>
      <w:bookmarkStart w:id="77" w:name="_Toc520116935"/>
      <w:bookmarkStart w:id="78" w:name="_Toc520116936"/>
      <w:bookmarkStart w:id="79" w:name="_Toc402785519"/>
      <w:bookmarkEnd w:id="75"/>
      <w:bookmarkEnd w:id="76"/>
      <w:bookmarkEnd w:id="77"/>
      <w:bookmarkEnd w:id="78"/>
      <w:bookmarkEnd w:id="79"/>
      <w:r w:rsidRPr="003B3B59">
        <w:rPr>
          <w:rFonts w:ascii="Arial" w:eastAsia="Times New Roman" w:hAnsi="Arial" w:cs="Times New Roman"/>
          <w:b/>
          <w:bCs/>
          <w:sz w:val="24"/>
          <w:szCs w:val="24"/>
        </w:rPr>
        <w:t>Local Approval:</w:t>
      </w:r>
      <w:r w:rsidRPr="003B3B59">
        <w:rPr>
          <w:rFonts w:ascii="Arial" w:eastAsia="Times New Roman" w:hAnsi="Arial" w:cs="Times New Roman"/>
          <w:sz w:val="24"/>
          <w:szCs w:val="24"/>
        </w:rPr>
        <w:t xml:space="preserve"> At participating sites, the appointed audit PIs will be responsible for applying for local approval at Trust level. Once local approval is obtained, it will be the responsibility of the PI to inform the clinical team of the audit and start data collection for the audit.</w:t>
      </w:r>
    </w:p>
    <w:p w:rsidR="003B3B59" w:rsidRPr="003B3B59" w:rsidRDefault="003B3B59" w:rsidP="001C43B5">
      <w:pPr>
        <w:keepNext/>
        <w:spacing w:before="360" w:after="0" w:line="360" w:lineRule="auto"/>
        <w:ind w:left="778" w:hanging="436"/>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lastRenderedPageBreak/>
        <w:t>6.1.2 Selection of Principal Investigators</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The audit intends to engage with the British Neurosurgical Trainees Research Collaborative (BNTRC) to appoint a trainee PI within each neurosurgery centre and the model for this has already been successfully established for trauma (</w:t>
      </w:r>
      <w:hyperlink r:id="rId12" w:history="1">
        <w:r w:rsidRPr="000311D8">
          <w:rPr>
            <w:rStyle w:val="Hyperlink"/>
            <w:rFonts w:ascii="Arial" w:eastAsia="Times New Roman" w:hAnsi="Arial" w:cs="Times New Roman"/>
            <w:color w:val="2E74B5" w:themeColor="accent5" w:themeShade="BF"/>
            <w:sz w:val="24"/>
            <w:szCs w:val="24"/>
            <w:u w:val="single"/>
          </w:rPr>
          <w:t>RESCUE-ASDH</w:t>
        </w:r>
      </w:hyperlink>
      <w:r w:rsidRPr="003B3B59">
        <w:rPr>
          <w:rFonts w:ascii="Arial" w:eastAsia="Times New Roman" w:hAnsi="Arial" w:cs="Times New Roman"/>
          <w:sz w:val="24"/>
          <w:szCs w:val="24"/>
        </w:rPr>
        <w:t>) and hydrocephalus (</w:t>
      </w:r>
      <w:hyperlink r:id="rId13" w:history="1">
        <w:r w:rsidRPr="003B3B59">
          <w:rPr>
            <w:rStyle w:val="Hyperlink"/>
            <w:rFonts w:ascii="Arial" w:eastAsia="Times New Roman" w:hAnsi="Arial" w:cs="Times New Roman"/>
            <w:color w:val="2E74B5" w:themeColor="accent5" w:themeShade="BF"/>
            <w:sz w:val="24"/>
            <w:szCs w:val="24"/>
            <w:u w:val="single"/>
          </w:rPr>
          <w:t>BASICS</w:t>
        </w:r>
      </w:hyperlink>
      <w:r w:rsidRPr="003B3B59">
        <w:rPr>
          <w:rFonts w:ascii="Arial" w:eastAsia="Times New Roman" w:hAnsi="Arial" w:cs="Times New Roman"/>
          <w:sz w:val="24"/>
          <w:szCs w:val="24"/>
        </w:rPr>
        <w:t>) randomised controlled trials.</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 </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All principal investigators will be required to demonstrate relevant experience and commitment during early phase feasibility assessment. All investigators must have the particular medical expertise necessary to conduct the study in accordance to the protocol. Written agreement to conduct research as such will be obtained prior to site initiation. </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Hence the principal investigator at each site can constitute:</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numPr>
          <w:ilvl w:val="0"/>
          <w:numId w:val="8"/>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Consultant level clinicians</w:t>
      </w:r>
    </w:p>
    <w:p w:rsidR="003B3B59" w:rsidRPr="003B3B59" w:rsidRDefault="003B3B59" w:rsidP="001C43B5">
      <w:pPr>
        <w:numPr>
          <w:ilvl w:val="0"/>
          <w:numId w:val="8"/>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Trainee level clinicians</w:t>
      </w:r>
    </w:p>
    <w:p w:rsidR="003B3B59" w:rsidRPr="003B3B59" w:rsidRDefault="003B3B59" w:rsidP="001C43B5">
      <w:pPr>
        <w:numPr>
          <w:ilvl w:val="0"/>
          <w:numId w:val="8"/>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Nursing (e.g. senior research nurses), physiotherapists or radiographers (all with proven experience)</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A suitable co-investigator should be identified at each site to deputise in case of PI absence.</w:t>
      </w:r>
    </w:p>
    <w:p w:rsidR="003B3B59" w:rsidRPr="003B3B59" w:rsidRDefault="003B3B59" w:rsidP="001C43B5">
      <w:pPr>
        <w:spacing w:after="0" w:line="360" w:lineRule="auto"/>
        <w:jc w:val="both"/>
        <w:rPr>
          <w:rFonts w:ascii="Arial" w:eastAsia="Times New Roman" w:hAnsi="Arial" w:cs="Arial"/>
          <w:sz w:val="24"/>
        </w:rPr>
      </w:pPr>
    </w:p>
    <w:p w:rsidR="003B3B59" w:rsidRPr="003B3B59" w:rsidRDefault="003B3B59" w:rsidP="001C43B5">
      <w:pPr>
        <w:keepNext/>
        <w:pageBreakBefore/>
        <w:numPr>
          <w:ilvl w:val="0"/>
          <w:numId w:val="9"/>
        </w:numPr>
        <w:spacing w:after="360" w:line="360" w:lineRule="auto"/>
        <w:ind w:left="567" w:hanging="567"/>
        <w:jc w:val="both"/>
        <w:outlineLvl w:val="0"/>
        <w:rPr>
          <w:rFonts w:ascii="Arial" w:eastAsia="Times New Roman" w:hAnsi="Arial" w:cs="Arial"/>
          <w:b/>
          <w:bCs/>
          <w:sz w:val="32"/>
          <w:szCs w:val="24"/>
        </w:rPr>
      </w:pPr>
      <w:bookmarkStart w:id="80" w:name="_Toc32578446"/>
      <w:bookmarkStart w:id="81" w:name="_Toc38877239"/>
      <w:bookmarkStart w:id="82" w:name="_Toc42020748"/>
      <w:bookmarkStart w:id="83" w:name="_Toc42077785"/>
      <w:bookmarkStart w:id="84" w:name="_Toc44574200"/>
      <w:r w:rsidRPr="003B3B59">
        <w:rPr>
          <w:rFonts w:ascii="Arial" w:eastAsia="Times New Roman" w:hAnsi="Arial" w:cs="Arial"/>
          <w:b/>
          <w:bCs/>
          <w:sz w:val="32"/>
          <w:szCs w:val="24"/>
        </w:rPr>
        <w:lastRenderedPageBreak/>
        <w:t>Eligibility Criteria</w:t>
      </w:r>
      <w:bookmarkEnd w:id="80"/>
      <w:bookmarkEnd w:id="81"/>
      <w:bookmarkEnd w:id="82"/>
      <w:bookmarkEnd w:id="83"/>
      <w:bookmarkEnd w:id="84"/>
    </w:p>
    <w:p w:rsidR="003B3B59" w:rsidRPr="003B3B59" w:rsidRDefault="003B3B59" w:rsidP="001C43B5">
      <w:pPr>
        <w:keepNext/>
        <w:numPr>
          <w:ilvl w:val="1"/>
          <w:numId w:val="10"/>
        </w:numPr>
        <w:spacing w:before="360" w:after="120" w:line="360" w:lineRule="auto"/>
        <w:jc w:val="both"/>
        <w:outlineLvl w:val="1"/>
        <w:rPr>
          <w:rFonts w:ascii="Arial" w:eastAsia="Times New Roman" w:hAnsi="Arial" w:cs="Times New Roman"/>
          <w:b/>
          <w:bCs/>
          <w:color w:val="000000"/>
          <w:sz w:val="28"/>
          <w:szCs w:val="21"/>
        </w:rPr>
      </w:pPr>
      <w:bookmarkStart w:id="85" w:name="_Toc439170053"/>
      <w:bookmarkStart w:id="86" w:name="_Toc439243079"/>
      <w:bookmarkStart w:id="87" w:name="_Toc32578447"/>
      <w:bookmarkEnd w:id="85"/>
      <w:bookmarkEnd w:id="86"/>
      <w:r w:rsidRPr="003B3B59">
        <w:rPr>
          <w:rFonts w:ascii="Arial" w:eastAsia="Times New Roman" w:hAnsi="Arial" w:cs="Times New Roman"/>
          <w:b/>
          <w:bCs/>
          <w:color w:val="000000"/>
          <w:sz w:val="28"/>
          <w:szCs w:val="21"/>
        </w:rPr>
        <w:t>Inclusion Criteria</w:t>
      </w:r>
      <w:bookmarkEnd w:id="87"/>
    </w:p>
    <w:p w:rsidR="003B3B59" w:rsidRPr="003B3B59" w:rsidRDefault="003B3B59" w:rsidP="001C43B5">
      <w:pPr>
        <w:numPr>
          <w:ilvl w:val="2"/>
          <w:numId w:val="9"/>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Male or female.</w:t>
      </w:r>
    </w:p>
    <w:p w:rsidR="003B3B59" w:rsidRPr="003B3B59" w:rsidRDefault="003B3B59" w:rsidP="001C43B5">
      <w:pPr>
        <w:numPr>
          <w:ilvl w:val="2"/>
          <w:numId w:val="9"/>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u w:val="single"/>
        </w:rPr>
        <w:t>&gt;</w:t>
      </w:r>
      <w:r w:rsidRPr="003B3B59">
        <w:rPr>
          <w:rFonts w:ascii="Arial" w:eastAsia="Times New Roman" w:hAnsi="Arial" w:cs="Times New Roman"/>
          <w:sz w:val="24"/>
          <w:szCs w:val="24"/>
        </w:rPr>
        <w:t>16 years of age</w:t>
      </w:r>
    </w:p>
    <w:p w:rsidR="003B3B59" w:rsidRPr="003B3B59" w:rsidRDefault="003B3B59" w:rsidP="001C43B5">
      <w:pPr>
        <w:numPr>
          <w:ilvl w:val="2"/>
          <w:numId w:val="9"/>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Histologically and/or cytologically confirmed breast cancer with CNS involvement, as defined as having one or more of the following:</w:t>
      </w:r>
    </w:p>
    <w:p w:rsidR="003B3B59" w:rsidRPr="003B3B59" w:rsidRDefault="003B3B59" w:rsidP="001C43B5">
      <w:pPr>
        <w:spacing w:after="0" w:line="360" w:lineRule="auto"/>
        <w:ind w:left="720"/>
        <w:jc w:val="both"/>
        <w:rPr>
          <w:rFonts w:ascii="Arial" w:eastAsia="Times New Roman" w:hAnsi="Arial" w:cs="Times New Roman"/>
          <w:sz w:val="24"/>
          <w:szCs w:val="24"/>
        </w:rPr>
      </w:pPr>
    </w:p>
    <w:p w:rsidR="003B3B59" w:rsidRPr="003B3B59" w:rsidRDefault="003B3B59" w:rsidP="001C43B5">
      <w:pPr>
        <w:numPr>
          <w:ilvl w:val="3"/>
          <w:numId w:val="19"/>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Metastases to the brain parenchyma</w:t>
      </w:r>
    </w:p>
    <w:p w:rsidR="003B3B59" w:rsidRPr="003B3B59" w:rsidRDefault="003B3B59" w:rsidP="001C43B5">
      <w:pPr>
        <w:numPr>
          <w:ilvl w:val="3"/>
          <w:numId w:val="19"/>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Metastases to the leptomeninges</w:t>
      </w:r>
    </w:p>
    <w:p w:rsidR="003B3B59" w:rsidRDefault="003B3B59" w:rsidP="001C43B5">
      <w:pPr>
        <w:numPr>
          <w:ilvl w:val="3"/>
          <w:numId w:val="19"/>
        </w:num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Paraneoplastic Neurological Disorders</w:t>
      </w:r>
    </w:p>
    <w:p w:rsidR="00383587" w:rsidRDefault="00383587" w:rsidP="001C43B5">
      <w:pPr>
        <w:spacing w:after="0" w:line="360" w:lineRule="auto"/>
        <w:ind w:left="2693"/>
        <w:jc w:val="both"/>
        <w:rPr>
          <w:rFonts w:ascii="Arial" w:eastAsia="Times New Roman" w:hAnsi="Arial" w:cs="Times New Roman"/>
          <w:sz w:val="24"/>
          <w:szCs w:val="24"/>
        </w:rPr>
      </w:pPr>
    </w:p>
    <w:p w:rsidR="00383587" w:rsidRPr="003B3B59" w:rsidRDefault="00383587" w:rsidP="001C43B5">
      <w:pPr>
        <w:spacing w:after="0" w:line="360" w:lineRule="auto"/>
        <w:jc w:val="both"/>
        <w:rPr>
          <w:rFonts w:ascii="Arial" w:eastAsia="Times New Roman" w:hAnsi="Arial" w:cs="Times New Roman"/>
          <w:sz w:val="24"/>
          <w:szCs w:val="24"/>
        </w:rPr>
      </w:pPr>
      <w:r>
        <w:rPr>
          <w:rFonts w:ascii="Arial" w:eastAsia="Times New Roman" w:hAnsi="Arial" w:cs="Arial"/>
          <w:color w:val="282828"/>
          <w:sz w:val="24"/>
          <w:szCs w:val="24"/>
        </w:rPr>
        <w:t>New or existing patients with a clinical diagnosis of CNS secondary to breast cancer (i.e. an active patient) are eligible to be registered on the study.</w:t>
      </w:r>
    </w:p>
    <w:p w:rsidR="003B3B59" w:rsidRPr="003B3B59" w:rsidRDefault="003B3B59" w:rsidP="001C43B5">
      <w:pPr>
        <w:keepNext/>
        <w:numPr>
          <w:ilvl w:val="1"/>
          <w:numId w:val="10"/>
        </w:numPr>
        <w:spacing w:before="360" w:after="120" w:line="360" w:lineRule="auto"/>
        <w:jc w:val="both"/>
        <w:outlineLvl w:val="1"/>
        <w:rPr>
          <w:rFonts w:ascii="Arial" w:eastAsia="Times New Roman" w:hAnsi="Arial" w:cs="Times New Roman"/>
          <w:b/>
          <w:bCs/>
          <w:color w:val="000000"/>
          <w:sz w:val="28"/>
          <w:szCs w:val="21"/>
        </w:rPr>
      </w:pPr>
      <w:bookmarkStart w:id="88" w:name="_Toc32578448"/>
      <w:r w:rsidRPr="003B3B59">
        <w:rPr>
          <w:rFonts w:ascii="Arial" w:eastAsia="Times New Roman" w:hAnsi="Arial" w:cs="Times New Roman"/>
          <w:b/>
          <w:bCs/>
          <w:color w:val="000000"/>
          <w:sz w:val="28"/>
          <w:szCs w:val="21"/>
        </w:rPr>
        <w:t>Exclusion Criteria</w:t>
      </w:r>
      <w:bookmarkEnd w:id="88"/>
      <w:r w:rsidRPr="003B3B59">
        <w:rPr>
          <w:rFonts w:ascii="Arial" w:eastAsia="Times New Roman" w:hAnsi="Arial" w:cs="Times New Roman"/>
          <w:b/>
          <w:bCs/>
          <w:color w:val="000000"/>
          <w:sz w:val="28"/>
          <w:szCs w:val="21"/>
        </w:rPr>
        <w:t xml:space="preserve"> </w:t>
      </w:r>
    </w:p>
    <w:p w:rsidR="003B3B59" w:rsidRPr="003B3B59" w:rsidRDefault="003B3B59" w:rsidP="001C43B5">
      <w:pPr>
        <w:spacing w:after="0" w:line="360" w:lineRule="auto"/>
        <w:rPr>
          <w:rFonts w:ascii="Arial" w:eastAsia="Times New Roman" w:hAnsi="Arial" w:cs="Times New Roman"/>
          <w:b/>
          <w:bCs/>
          <w:color w:val="000000"/>
          <w:sz w:val="28"/>
          <w:szCs w:val="21"/>
        </w:rPr>
      </w:pPr>
      <w:r w:rsidRPr="003B3B59">
        <w:rPr>
          <w:rFonts w:ascii="Arial" w:eastAsia="Times New Roman" w:hAnsi="Arial" w:cs="Times New Roman"/>
          <w:sz w:val="24"/>
          <w:szCs w:val="24"/>
        </w:rPr>
        <w:t>There is no formal exclusion criteria.</w:t>
      </w:r>
      <w:r w:rsidRPr="003B3B59">
        <w:rPr>
          <w:rFonts w:ascii="Arial" w:eastAsia="Times New Roman" w:hAnsi="Arial" w:cs="Times New Roman"/>
          <w:sz w:val="24"/>
          <w:szCs w:val="24"/>
        </w:rPr>
        <w:br w:type="page"/>
      </w:r>
    </w:p>
    <w:p w:rsidR="003B3B59" w:rsidRPr="003B3B59" w:rsidRDefault="003B3B59" w:rsidP="001C43B5">
      <w:pPr>
        <w:keepNext/>
        <w:pageBreakBefore/>
        <w:numPr>
          <w:ilvl w:val="0"/>
          <w:numId w:val="9"/>
        </w:numPr>
        <w:spacing w:after="360" w:line="360" w:lineRule="auto"/>
        <w:ind w:left="567" w:hanging="567"/>
        <w:jc w:val="both"/>
        <w:outlineLvl w:val="0"/>
        <w:rPr>
          <w:rFonts w:ascii="Arial" w:eastAsia="Times New Roman" w:hAnsi="Arial" w:cs="Arial"/>
          <w:b/>
          <w:bCs/>
          <w:sz w:val="32"/>
          <w:szCs w:val="24"/>
        </w:rPr>
      </w:pPr>
      <w:bookmarkStart w:id="89" w:name="_Toc32578467"/>
      <w:bookmarkStart w:id="90" w:name="_Toc38877240"/>
      <w:bookmarkStart w:id="91" w:name="_Toc42020749"/>
      <w:bookmarkStart w:id="92" w:name="_Toc42077786"/>
      <w:bookmarkStart w:id="93" w:name="_Toc44574201"/>
      <w:r w:rsidRPr="003B3B59">
        <w:rPr>
          <w:rFonts w:ascii="Arial" w:eastAsia="Times New Roman" w:hAnsi="Arial" w:cs="Arial"/>
          <w:b/>
          <w:bCs/>
          <w:sz w:val="32"/>
          <w:szCs w:val="24"/>
        </w:rPr>
        <w:lastRenderedPageBreak/>
        <w:t>Outcomes</w:t>
      </w:r>
      <w:bookmarkEnd w:id="89"/>
      <w:bookmarkEnd w:id="90"/>
      <w:bookmarkEnd w:id="91"/>
      <w:bookmarkEnd w:id="92"/>
      <w:bookmarkEnd w:id="93"/>
    </w:p>
    <w:p w:rsidR="003B3B59" w:rsidRPr="003B3B59" w:rsidRDefault="003B3B59" w:rsidP="001C43B5">
      <w:pPr>
        <w:keepNext/>
        <w:numPr>
          <w:ilvl w:val="0"/>
          <w:numId w:val="10"/>
        </w:numPr>
        <w:spacing w:before="360" w:after="120" w:line="360" w:lineRule="auto"/>
        <w:jc w:val="both"/>
        <w:outlineLvl w:val="1"/>
        <w:rPr>
          <w:rFonts w:ascii="Arial" w:eastAsia="Times New Roman" w:hAnsi="Arial" w:cs="Times New Roman"/>
          <w:b/>
          <w:bCs/>
          <w:vanish/>
          <w:color w:val="000000"/>
          <w:sz w:val="28"/>
          <w:szCs w:val="21"/>
        </w:rPr>
      </w:pPr>
      <w:bookmarkStart w:id="94" w:name="_Toc42020523"/>
      <w:bookmarkEnd w:id="94"/>
    </w:p>
    <w:p w:rsidR="003B3B59" w:rsidRPr="003B3B59" w:rsidRDefault="003B3B59" w:rsidP="001C43B5">
      <w:pPr>
        <w:keepNext/>
        <w:numPr>
          <w:ilvl w:val="1"/>
          <w:numId w:val="10"/>
        </w:numPr>
        <w:spacing w:before="360" w:after="120" w:line="360" w:lineRule="auto"/>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Primary Outcomes</w:t>
      </w:r>
    </w:p>
    <w:tbl>
      <w:tblPr>
        <w:tblStyle w:val="TableGrid"/>
        <w:tblW w:w="4812" w:type="pct"/>
        <w:tblLook w:val="04A0" w:firstRow="1" w:lastRow="0" w:firstColumn="1" w:lastColumn="0" w:noHBand="0" w:noVBand="1"/>
      </w:tblPr>
      <w:tblGrid>
        <w:gridCol w:w="5031"/>
        <w:gridCol w:w="5032"/>
      </w:tblGrid>
      <w:tr w:rsidR="003B3B59" w:rsidRPr="003B3B59" w:rsidTr="003B3B59">
        <w:trPr>
          <w:trHeight w:val="340"/>
        </w:trPr>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cs="Arial"/>
                <w:color w:val="000000"/>
                <w:sz w:val="24"/>
                <w:szCs w:val="24"/>
              </w:rPr>
            </w:pPr>
            <w:r w:rsidRPr="003B3B59">
              <w:rPr>
                <w:rFonts w:ascii="Calibri" w:hAnsi="Calibri" w:cs="Calibri"/>
                <w:b/>
                <w:bCs/>
                <w:color w:val="000000"/>
                <w:sz w:val="24"/>
                <w:szCs w:val="24"/>
              </w:rPr>
              <w:t>Outcome</w:t>
            </w:r>
          </w:p>
        </w:tc>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cs="Arial"/>
                <w:color w:val="000000"/>
                <w:sz w:val="24"/>
                <w:szCs w:val="24"/>
              </w:rPr>
            </w:pPr>
            <w:r w:rsidRPr="003B3B59">
              <w:rPr>
                <w:rFonts w:ascii="Calibri" w:hAnsi="Calibri" w:cs="Calibri"/>
                <w:b/>
                <w:bCs/>
                <w:color w:val="000000"/>
                <w:sz w:val="24"/>
                <w:szCs w:val="24"/>
              </w:rPr>
              <w:t>Outcome measures</w:t>
            </w:r>
          </w:p>
        </w:tc>
      </w:tr>
      <w:tr w:rsidR="003B3B59" w:rsidRPr="003B3B59" w:rsidTr="003B3B59">
        <w:trPr>
          <w:trHeight w:val="937"/>
        </w:trPr>
        <w:tc>
          <w:tcPr>
            <w:tcW w:w="2500" w:type="pct"/>
          </w:tcPr>
          <w:p w:rsidR="003B3B59" w:rsidRPr="003B3B59" w:rsidRDefault="003B3B59" w:rsidP="001C43B5">
            <w:pPr>
              <w:numPr>
                <w:ilvl w:val="0"/>
                <w:numId w:val="21"/>
              </w:numPr>
              <w:tabs>
                <w:tab w:val="left" w:pos="709"/>
              </w:tabs>
              <w:autoSpaceDE w:val="0"/>
              <w:autoSpaceDN w:val="0"/>
              <w:adjustRightInd w:val="0"/>
              <w:spacing w:line="360" w:lineRule="auto"/>
              <w:jc w:val="both"/>
              <w:rPr>
                <w:rFonts w:ascii="Calibri" w:hAnsi="Calibri" w:cs="Calibri"/>
                <w:b/>
                <w:bCs/>
                <w:color w:val="000000"/>
                <w:sz w:val="24"/>
                <w:szCs w:val="24"/>
              </w:rPr>
            </w:pPr>
            <w:r w:rsidRPr="003B3B59">
              <w:rPr>
                <w:rFonts w:ascii="Arial" w:hAnsi="Arial" w:cs="Arial"/>
                <w:color w:val="000000"/>
                <w:sz w:val="24"/>
                <w:szCs w:val="24"/>
              </w:rPr>
              <w:t>To report the survival of patients diagnosed with CNS involvement secondary to breast cancer.</w:t>
            </w:r>
          </w:p>
        </w:tc>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sz w:val="24"/>
                <w:szCs w:val="24"/>
              </w:rPr>
            </w:pPr>
            <w:r w:rsidRPr="003B3B59">
              <w:rPr>
                <w:rFonts w:ascii="Arial" w:hAnsi="Arial"/>
                <w:sz w:val="24"/>
                <w:szCs w:val="24"/>
              </w:rPr>
              <w:t>Time from diagnosis of secondary breast cancer to time of death of any cause.</w:t>
            </w:r>
          </w:p>
          <w:p w:rsidR="003B3B59" w:rsidRPr="003B3B59" w:rsidRDefault="003B3B59" w:rsidP="001C43B5">
            <w:pPr>
              <w:tabs>
                <w:tab w:val="left" w:pos="709"/>
              </w:tabs>
              <w:autoSpaceDE w:val="0"/>
              <w:autoSpaceDN w:val="0"/>
              <w:adjustRightInd w:val="0"/>
              <w:spacing w:line="360" w:lineRule="auto"/>
              <w:jc w:val="both"/>
              <w:rPr>
                <w:rFonts w:ascii="Arial" w:hAnsi="Arial"/>
                <w:sz w:val="24"/>
                <w:szCs w:val="24"/>
              </w:rPr>
            </w:pPr>
          </w:p>
        </w:tc>
      </w:tr>
      <w:tr w:rsidR="003B3B59" w:rsidRPr="003B3B59" w:rsidTr="003B3B59">
        <w:trPr>
          <w:trHeight w:val="937"/>
        </w:trPr>
        <w:tc>
          <w:tcPr>
            <w:tcW w:w="2500" w:type="pct"/>
          </w:tcPr>
          <w:p w:rsidR="003B3B59" w:rsidRPr="003B3B59" w:rsidRDefault="003B3B59" w:rsidP="001C43B5">
            <w:pPr>
              <w:numPr>
                <w:ilvl w:val="0"/>
                <w:numId w:val="21"/>
              </w:numPr>
              <w:autoSpaceDE w:val="0"/>
              <w:autoSpaceDN w:val="0"/>
              <w:adjustRightInd w:val="0"/>
              <w:spacing w:line="360" w:lineRule="auto"/>
              <w:jc w:val="both"/>
              <w:rPr>
                <w:rFonts w:ascii="Arial" w:hAnsi="Arial" w:cs="Arial"/>
                <w:color w:val="000000"/>
                <w:sz w:val="24"/>
                <w:szCs w:val="24"/>
              </w:rPr>
            </w:pPr>
            <w:r w:rsidRPr="003B3B59">
              <w:rPr>
                <w:rFonts w:ascii="Arial" w:hAnsi="Arial" w:cs="Arial"/>
                <w:color w:val="000000"/>
                <w:sz w:val="24"/>
                <w:szCs w:val="24"/>
              </w:rPr>
              <w:t xml:space="preserve">To describe the current practice in diagnosis, staging and management of metastatic disease in the central nervous system in relation to national and international guidelines, including the NICE guidelines for the management of brain metastases in adults (NG99, July 2018), EANO (2017) and the NCCN guidelines (Version 1.2018 Central Nervous System Cancers). </w:t>
            </w:r>
          </w:p>
          <w:p w:rsidR="003B3B59" w:rsidRPr="003B3B59" w:rsidRDefault="003B3B59" w:rsidP="001C43B5">
            <w:pPr>
              <w:tabs>
                <w:tab w:val="left" w:pos="709"/>
              </w:tabs>
              <w:autoSpaceDE w:val="0"/>
              <w:autoSpaceDN w:val="0"/>
              <w:adjustRightInd w:val="0"/>
              <w:spacing w:line="360" w:lineRule="auto"/>
              <w:jc w:val="both"/>
              <w:rPr>
                <w:rFonts w:ascii="Arial" w:hAnsi="Arial" w:cs="Arial"/>
                <w:color w:val="000000"/>
                <w:sz w:val="24"/>
                <w:szCs w:val="24"/>
              </w:rPr>
            </w:pPr>
          </w:p>
        </w:tc>
        <w:tc>
          <w:tcPr>
            <w:tcW w:w="2500" w:type="pct"/>
          </w:tcPr>
          <w:p w:rsidR="003B3B59" w:rsidRPr="003B3B59" w:rsidRDefault="003B3B59" w:rsidP="001C43B5">
            <w:pPr>
              <w:spacing w:line="360" w:lineRule="auto"/>
              <w:jc w:val="both"/>
              <w:rPr>
                <w:rFonts w:ascii="Arial" w:hAnsi="Arial"/>
                <w:sz w:val="24"/>
                <w:szCs w:val="28"/>
              </w:rPr>
            </w:pPr>
            <w:r w:rsidRPr="003B3B59">
              <w:rPr>
                <w:rFonts w:ascii="Arial" w:hAnsi="Arial"/>
                <w:sz w:val="24"/>
                <w:szCs w:val="28"/>
              </w:rPr>
              <w:t>Description of patient management including</w:t>
            </w:r>
          </w:p>
          <w:p w:rsidR="003B3B59" w:rsidRPr="003B3B59" w:rsidRDefault="003B3B59" w:rsidP="001C43B5">
            <w:pPr>
              <w:numPr>
                <w:ilvl w:val="0"/>
                <w:numId w:val="20"/>
              </w:numPr>
              <w:spacing w:line="360" w:lineRule="auto"/>
              <w:jc w:val="both"/>
              <w:rPr>
                <w:rFonts w:ascii="Arial" w:hAnsi="Arial"/>
                <w:sz w:val="24"/>
                <w:szCs w:val="28"/>
              </w:rPr>
            </w:pPr>
            <w:r w:rsidRPr="003B3B59">
              <w:rPr>
                <w:rFonts w:ascii="Arial" w:hAnsi="Arial"/>
                <w:sz w:val="24"/>
                <w:szCs w:val="28"/>
              </w:rPr>
              <w:t>Diagnosis</w:t>
            </w:r>
          </w:p>
          <w:p w:rsidR="003B3B59" w:rsidRPr="003B3B59" w:rsidRDefault="003B3B59" w:rsidP="001C43B5">
            <w:pPr>
              <w:numPr>
                <w:ilvl w:val="0"/>
                <w:numId w:val="20"/>
              </w:numPr>
              <w:spacing w:line="360" w:lineRule="auto"/>
              <w:jc w:val="both"/>
              <w:rPr>
                <w:rFonts w:ascii="Arial" w:hAnsi="Arial"/>
                <w:sz w:val="24"/>
                <w:szCs w:val="28"/>
              </w:rPr>
            </w:pPr>
            <w:r w:rsidRPr="003B3B59">
              <w:rPr>
                <w:rFonts w:ascii="Arial" w:hAnsi="Arial"/>
                <w:sz w:val="24"/>
                <w:szCs w:val="28"/>
              </w:rPr>
              <w:t>Staging</w:t>
            </w:r>
          </w:p>
          <w:p w:rsidR="003B3B59" w:rsidRPr="003B3B59" w:rsidRDefault="003B3B59" w:rsidP="001C43B5">
            <w:pPr>
              <w:numPr>
                <w:ilvl w:val="0"/>
                <w:numId w:val="20"/>
              </w:numPr>
              <w:spacing w:line="360" w:lineRule="auto"/>
              <w:jc w:val="both"/>
              <w:rPr>
                <w:rFonts w:ascii="Arial" w:hAnsi="Arial"/>
                <w:sz w:val="24"/>
                <w:szCs w:val="28"/>
              </w:rPr>
            </w:pPr>
            <w:r w:rsidRPr="003B3B59">
              <w:rPr>
                <w:rFonts w:ascii="Arial" w:hAnsi="Arial"/>
                <w:sz w:val="24"/>
                <w:szCs w:val="28"/>
              </w:rPr>
              <w:t>Therapy/treatment</w:t>
            </w:r>
          </w:p>
          <w:p w:rsidR="003B3B59" w:rsidRPr="003B3B59" w:rsidRDefault="003B3B59" w:rsidP="001C43B5">
            <w:pPr>
              <w:numPr>
                <w:ilvl w:val="0"/>
                <w:numId w:val="20"/>
              </w:numPr>
              <w:spacing w:line="360" w:lineRule="auto"/>
              <w:jc w:val="both"/>
              <w:rPr>
                <w:rFonts w:ascii="Arial" w:hAnsi="Arial"/>
                <w:sz w:val="24"/>
                <w:szCs w:val="28"/>
              </w:rPr>
            </w:pPr>
            <w:r w:rsidRPr="003B3B59">
              <w:rPr>
                <w:rFonts w:ascii="Arial" w:hAnsi="Arial"/>
                <w:sz w:val="24"/>
                <w:szCs w:val="28"/>
              </w:rPr>
              <w:t>Patient outcomes</w:t>
            </w:r>
          </w:p>
          <w:p w:rsidR="003B3B59" w:rsidRPr="003B3B59" w:rsidRDefault="003B3B59" w:rsidP="001C43B5">
            <w:pPr>
              <w:tabs>
                <w:tab w:val="left" w:pos="709"/>
              </w:tabs>
              <w:autoSpaceDE w:val="0"/>
              <w:autoSpaceDN w:val="0"/>
              <w:adjustRightInd w:val="0"/>
              <w:spacing w:line="360" w:lineRule="auto"/>
              <w:jc w:val="both"/>
              <w:rPr>
                <w:rFonts w:ascii="Arial" w:hAnsi="Arial"/>
                <w:sz w:val="24"/>
                <w:szCs w:val="24"/>
              </w:rPr>
            </w:pPr>
          </w:p>
        </w:tc>
      </w:tr>
    </w:tbl>
    <w:p w:rsidR="003B3B59" w:rsidRPr="003B3B59" w:rsidRDefault="003B3B59" w:rsidP="001C43B5">
      <w:pPr>
        <w:keepNext/>
        <w:numPr>
          <w:ilvl w:val="1"/>
          <w:numId w:val="10"/>
        </w:numPr>
        <w:spacing w:before="360" w:after="120" w:line="360" w:lineRule="auto"/>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Secondary Outcomes</w:t>
      </w:r>
    </w:p>
    <w:tbl>
      <w:tblPr>
        <w:tblStyle w:val="TableGrid"/>
        <w:tblW w:w="4812" w:type="pct"/>
        <w:tblLook w:val="04A0" w:firstRow="1" w:lastRow="0" w:firstColumn="1" w:lastColumn="0" w:noHBand="0" w:noVBand="1"/>
      </w:tblPr>
      <w:tblGrid>
        <w:gridCol w:w="5031"/>
        <w:gridCol w:w="5032"/>
      </w:tblGrid>
      <w:tr w:rsidR="003B3B59" w:rsidRPr="003B3B59" w:rsidTr="003B3B59">
        <w:trPr>
          <w:trHeight w:val="340"/>
        </w:trPr>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cs="Arial"/>
                <w:color w:val="000000"/>
                <w:sz w:val="24"/>
                <w:szCs w:val="24"/>
              </w:rPr>
            </w:pPr>
            <w:r w:rsidRPr="003B3B59">
              <w:rPr>
                <w:rFonts w:ascii="Calibri" w:hAnsi="Calibri" w:cs="Calibri"/>
                <w:b/>
                <w:bCs/>
                <w:color w:val="000000"/>
                <w:sz w:val="24"/>
                <w:szCs w:val="24"/>
              </w:rPr>
              <w:t>Outcome</w:t>
            </w:r>
          </w:p>
        </w:tc>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cs="Arial"/>
                <w:color w:val="000000"/>
                <w:sz w:val="24"/>
                <w:szCs w:val="24"/>
              </w:rPr>
            </w:pPr>
            <w:r w:rsidRPr="003B3B59">
              <w:rPr>
                <w:rFonts w:ascii="Calibri" w:hAnsi="Calibri" w:cs="Calibri"/>
                <w:b/>
                <w:bCs/>
                <w:color w:val="000000"/>
                <w:sz w:val="24"/>
                <w:szCs w:val="24"/>
              </w:rPr>
              <w:t>Outcome measures</w:t>
            </w:r>
          </w:p>
        </w:tc>
      </w:tr>
      <w:tr w:rsidR="003B3B59" w:rsidRPr="003B3B59" w:rsidTr="003B3B59">
        <w:trPr>
          <w:trHeight w:val="937"/>
        </w:trPr>
        <w:tc>
          <w:tcPr>
            <w:tcW w:w="2500" w:type="pct"/>
          </w:tcPr>
          <w:p w:rsidR="003B3B59" w:rsidRPr="003B3B59" w:rsidRDefault="003B3B59" w:rsidP="001C43B5">
            <w:pPr>
              <w:numPr>
                <w:ilvl w:val="0"/>
                <w:numId w:val="21"/>
              </w:numPr>
              <w:autoSpaceDE w:val="0"/>
              <w:autoSpaceDN w:val="0"/>
              <w:adjustRightInd w:val="0"/>
              <w:spacing w:line="360" w:lineRule="auto"/>
              <w:jc w:val="both"/>
              <w:rPr>
                <w:rFonts w:ascii="Arial" w:hAnsi="Arial" w:cs="Arial"/>
                <w:color w:val="000000"/>
                <w:sz w:val="24"/>
                <w:szCs w:val="24"/>
              </w:rPr>
            </w:pPr>
            <w:r w:rsidRPr="003B3B59">
              <w:rPr>
                <w:rFonts w:ascii="Arial" w:hAnsi="Arial" w:cs="Arial"/>
                <w:color w:val="000000"/>
                <w:sz w:val="24"/>
                <w:szCs w:val="24"/>
              </w:rPr>
              <w:t xml:space="preserve">To define the incidence </w:t>
            </w:r>
            <w:r w:rsidRPr="003B3B59">
              <w:rPr>
                <w:rFonts w:ascii="Arial" w:hAnsi="Arial" w:cs="Arial"/>
                <w:sz w:val="24"/>
                <w:szCs w:val="24"/>
              </w:rPr>
              <w:t xml:space="preserve">of CNS involvement secondary to breast cancer </w:t>
            </w:r>
            <w:r w:rsidRPr="003B3B59">
              <w:rPr>
                <w:rFonts w:ascii="Arial" w:hAnsi="Arial" w:cs="Arial"/>
                <w:color w:val="000000"/>
                <w:sz w:val="24"/>
                <w:szCs w:val="24"/>
              </w:rPr>
              <w:t>in the UK.</w:t>
            </w:r>
          </w:p>
        </w:tc>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sz w:val="24"/>
                <w:szCs w:val="24"/>
              </w:rPr>
            </w:pPr>
            <w:r w:rsidRPr="003B3B59">
              <w:rPr>
                <w:rFonts w:ascii="Arial" w:hAnsi="Arial"/>
                <w:sz w:val="24"/>
                <w:szCs w:val="24"/>
              </w:rPr>
              <w:t>The number of patients with CNS involvement secondary to breast cancer registered per year.</w:t>
            </w:r>
          </w:p>
        </w:tc>
      </w:tr>
      <w:tr w:rsidR="003B3B59" w:rsidRPr="003B3B59" w:rsidTr="003B3B59">
        <w:trPr>
          <w:trHeight w:val="937"/>
        </w:trPr>
        <w:tc>
          <w:tcPr>
            <w:tcW w:w="2500" w:type="pct"/>
          </w:tcPr>
          <w:p w:rsidR="003B3B59" w:rsidRPr="003B3B59" w:rsidRDefault="003B3B59" w:rsidP="001C43B5">
            <w:pPr>
              <w:numPr>
                <w:ilvl w:val="0"/>
                <w:numId w:val="21"/>
              </w:numPr>
              <w:autoSpaceDE w:val="0"/>
              <w:autoSpaceDN w:val="0"/>
              <w:adjustRightInd w:val="0"/>
              <w:spacing w:line="360" w:lineRule="auto"/>
              <w:jc w:val="both"/>
              <w:rPr>
                <w:rFonts w:ascii="Arial" w:hAnsi="Arial" w:cs="Arial"/>
                <w:color w:val="000000"/>
                <w:sz w:val="24"/>
                <w:szCs w:val="24"/>
              </w:rPr>
            </w:pPr>
            <w:r w:rsidRPr="003B3B59">
              <w:rPr>
                <w:rFonts w:ascii="Arial" w:hAnsi="Arial" w:cs="Arial"/>
                <w:color w:val="000000"/>
                <w:sz w:val="24"/>
                <w:szCs w:val="24"/>
              </w:rPr>
              <w:t>To evaluate the outcomes of patients treated for CNS involvement secondary to breast cancer in the UK</w:t>
            </w:r>
          </w:p>
          <w:p w:rsidR="003B3B59" w:rsidRPr="003B3B59" w:rsidRDefault="003B3B59" w:rsidP="001C43B5">
            <w:pPr>
              <w:autoSpaceDE w:val="0"/>
              <w:autoSpaceDN w:val="0"/>
              <w:adjustRightInd w:val="0"/>
              <w:spacing w:line="360" w:lineRule="auto"/>
              <w:jc w:val="both"/>
              <w:rPr>
                <w:rFonts w:ascii="Arial" w:hAnsi="Arial" w:cs="Arial"/>
                <w:color w:val="000000"/>
                <w:sz w:val="24"/>
                <w:szCs w:val="24"/>
              </w:rPr>
            </w:pPr>
          </w:p>
        </w:tc>
        <w:tc>
          <w:tcPr>
            <w:tcW w:w="2500" w:type="pct"/>
          </w:tcPr>
          <w:p w:rsidR="003B3B59" w:rsidRPr="003B3B59" w:rsidRDefault="003B3B59" w:rsidP="001C43B5">
            <w:pPr>
              <w:spacing w:line="360" w:lineRule="auto"/>
              <w:jc w:val="both"/>
              <w:rPr>
                <w:rFonts w:ascii="Arial" w:hAnsi="Arial"/>
                <w:sz w:val="24"/>
                <w:szCs w:val="28"/>
              </w:rPr>
            </w:pPr>
            <w:r w:rsidRPr="003B3B59">
              <w:rPr>
                <w:rFonts w:ascii="Arial" w:hAnsi="Arial"/>
                <w:sz w:val="24"/>
                <w:szCs w:val="28"/>
              </w:rPr>
              <w:t xml:space="preserve">The time to progression following surgery, radiotherapy or systemic therapy given as treatment for CNS involvement. </w:t>
            </w:r>
          </w:p>
          <w:p w:rsidR="003B3B59" w:rsidRPr="003B3B59" w:rsidRDefault="003B3B59" w:rsidP="001C43B5">
            <w:pPr>
              <w:spacing w:line="360" w:lineRule="auto"/>
              <w:jc w:val="both"/>
              <w:rPr>
                <w:rFonts w:ascii="Arial" w:hAnsi="Arial"/>
                <w:sz w:val="24"/>
                <w:szCs w:val="28"/>
              </w:rPr>
            </w:pPr>
          </w:p>
          <w:p w:rsidR="003B3B59" w:rsidRPr="003B3B59" w:rsidRDefault="003B3B59" w:rsidP="001C43B5">
            <w:pPr>
              <w:spacing w:line="360" w:lineRule="auto"/>
              <w:jc w:val="both"/>
              <w:rPr>
                <w:rFonts w:ascii="Arial" w:hAnsi="Arial"/>
                <w:sz w:val="24"/>
                <w:szCs w:val="28"/>
              </w:rPr>
            </w:pPr>
            <w:r w:rsidRPr="003B3B59">
              <w:rPr>
                <w:rFonts w:ascii="Arial" w:hAnsi="Arial"/>
                <w:sz w:val="24"/>
                <w:szCs w:val="28"/>
              </w:rPr>
              <w:t>The site of progression (cranial or extracranial) will be recorded.</w:t>
            </w:r>
          </w:p>
          <w:p w:rsidR="003B3B59" w:rsidRPr="003B3B59" w:rsidRDefault="003B3B59" w:rsidP="001C43B5">
            <w:pPr>
              <w:spacing w:line="360" w:lineRule="auto"/>
              <w:jc w:val="both"/>
              <w:rPr>
                <w:rFonts w:ascii="Arial" w:hAnsi="Arial"/>
                <w:sz w:val="24"/>
                <w:szCs w:val="28"/>
              </w:rPr>
            </w:pPr>
          </w:p>
          <w:p w:rsidR="003B3B59" w:rsidRPr="003B3B59" w:rsidRDefault="003B3B59" w:rsidP="001C43B5">
            <w:pPr>
              <w:spacing w:line="360" w:lineRule="auto"/>
              <w:jc w:val="both"/>
              <w:rPr>
                <w:rFonts w:ascii="Arial" w:hAnsi="Arial"/>
                <w:sz w:val="24"/>
                <w:szCs w:val="28"/>
              </w:rPr>
            </w:pPr>
            <w:r w:rsidRPr="003B3B59">
              <w:rPr>
                <w:rFonts w:ascii="Arial" w:hAnsi="Arial"/>
                <w:sz w:val="24"/>
                <w:szCs w:val="28"/>
              </w:rPr>
              <w:lastRenderedPageBreak/>
              <w:t>Time from diagnosis of CNS disease secondary to breast cancer to time of death.</w:t>
            </w:r>
          </w:p>
        </w:tc>
      </w:tr>
      <w:tr w:rsidR="003B3B59" w:rsidRPr="003B3B59" w:rsidTr="003B3B59">
        <w:trPr>
          <w:trHeight w:val="937"/>
        </w:trPr>
        <w:tc>
          <w:tcPr>
            <w:tcW w:w="2500" w:type="pct"/>
          </w:tcPr>
          <w:p w:rsidR="003B3B59" w:rsidRPr="003B3B59" w:rsidRDefault="003B3B59" w:rsidP="001C43B5">
            <w:pPr>
              <w:numPr>
                <w:ilvl w:val="0"/>
                <w:numId w:val="21"/>
              </w:numPr>
              <w:autoSpaceDE w:val="0"/>
              <w:autoSpaceDN w:val="0"/>
              <w:adjustRightInd w:val="0"/>
              <w:spacing w:line="360" w:lineRule="auto"/>
              <w:jc w:val="both"/>
              <w:rPr>
                <w:rFonts w:ascii="Arial" w:hAnsi="Arial" w:cs="Arial"/>
                <w:color w:val="000000"/>
                <w:sz w:val="24"/>
                <w:szCs w:val="24"/>
              </w:rPr>
            </w:pPr>
            <w:r w:rsidRPr="003B3B59">
              <w:rPr>
                <w:rFonts w:ascii="Arial" w:hAnsi="Arial" w:cs="Arial"/>
                <w:color w:val="000000"/>
                <w:sz w:val="24"/>
                <w:szCs w:val="24"/>
              </w:rPr>
              <w:lastRenderedPageBreak/>
              <w:t>To inform and help in the development of potential prospective studies and clinical trials.</w:t>
            </w:r>
          </w:p>
        </w:tc>
        <w:tc>
          <w:tcPr>
            <w:tcW w:w="2500" w:type="pct"/>
          </w:tcPr>
          <w:p w:rsidR="003B3B59" w:rsidRPr="003B3B59" w:rsidRDefault="003B3B59" w:rsidP="001C43B5">
            <w:pPr>
              <w:tabs>
                <w:tab w:val="left" w:pos="709"/>
              </w:tabs>
              <w:autoSpaceDE w:val="0"/>
              <w:autoSpaceDN w:val="0"/>
              <w:adjustRightInd w:val="0"/>
              <w:spacing w:line="360" w:lineRule="auto"/>
              <w:jc w:val="both"/>
              <w:rPr>
                <w:rFonts w:ascii="Arial" w:hAnsi="Arial"/>
                <w:sz w:val="24"/>
                <w:szCs w:val="24"/>
              </w:rPr>
            </w:pPr>
            <w:r w:rsidRPr="003B3B59">
              <w:rPr>
                <w:rFonts w:ascii="Arial" w:hAnsi="Arial"/>
                <w:sz w:val="24"/>
                <w:szCs w:val="24"/>
              </w:rPr>
              <w:t>All the information gathered during the audit will be used to understand the possible gaps in knowledge and therefore possible clinical trials. While data relating to number of patients and outcomes will help with trial design.</w:t>
            </w:r>
          </w:p>
        </w:tc>
      </w:tr>
    </w:tbl>
    <w:p w:rsidR="003B3B59" w:rsidRPr="003B3B59" w:rsidRDefault="003B3B59" w:rsidP="001C43B5">
      <w:pPr>
        <w:spacing w:before="120" w:after="120" w:line="360" w:lineRule="auto"/>
        <w:jc w:val="both"/>
        <w:rPr>
          <w:rFonts w:ascii="Arial" w:eastAsia="Times New Roman" w:hAnsi="Arial" w:cs="Arial"/>
          <w:b/>
          <w:sz w:val="24"/>
          <w:szCs w:val="24"/>
        </w:rPr>
      </w:pPr>
    </w:p>
    <w:p w:rsidR="003B3B59" w:rsidRPr="003B3B59" w:rsidRDefault="003B3B59" w:rsidP="001C43B5">
      <w:pPr>
        <w:spacing w:after="0" w:line="360" w:lineRule="auto"/>
        <w:jc w:val="both"/>
        <w:rPr>
          <w:rFonts w:ascii="Arial" w:eastAsia="Times New Roman" w:hAnsi="Arial" w:cs="Times New Roman"/>
          <w:sz w:val="24"/>
          <w:szCs w:val="28"/>
        </w:rPr>
      </w:pP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autoSpaceDE w:val="0"/>
        <w:autoSpaceDN w:val="0"/>
        <w:adjustRightInd w:val="0"/>
        <w:spacing w:after="0" w:line="360" w:lineRule="auto"/>
        <w:jc w:val="both"/>
        <w:rPr>
          <w:rFonts w:ascii="Arial" w:eastAsia="Times New Roman" w:hAnsi="Arial" w:cs="Arial"/>
          <w:color w:val="000000"/>
          <w:sz w:val="24"/>
          <w:szCs w:val="24"/>
          <w:lang w:eastAsia="en-GB"/>
        </w:rPr>
      </w:pPr>
    </w:p>
    <w:p w:rsidR="003B3B59" w:rsidRPr="003B3B59" w:rsidRDefault="003B3B59" w:rsidP="001C43B5">
      <w:pPr>
        <w:keepNext/>
        <w:pageBreakBefore/>
        <w:numPr>
          <w:ilvl w:val="0"/>
          <w:numId w:val="9"/>
        </w:numPr>
        <w:spacing w:after="360" w:line="360" w:lineRule="auto"/>
        <w:ind w:left="426" w:hanging="426"/>
        <w:jc w:val="both"/>
        <w:outlineLvl w:val="0"/>
        <w:rPr>
          <w:rFonts w:ascii="Arial" w:eastAsia="Times New Roman" w:hAnsi="Arial" w:cs="Arial"/>
          <w:b/>
          <w:bCs/>
          <w:sz w:val="32"/>
          <w:szCs w:val="24"/>
        </w:rPr>
      </w:pPr>
      <w:bookmarkStart w:id="95" w:name="_Toc32578470"/>
      <w:bookmarkStart w:id="96" w:name="_Toc38877241"/>
      <w:bookmarkStart w:id="97" w:name="_Toc42020750"/>
      <w:bookmarkStart w:id="98" w:name="_Toc42077787"/>
      <w:bookmarkStart w:id="99" w:name="_Toc44574202"/>
      <w:r w:rsidRPr="003B3B59">
        <w:rPr>
          <w:rFonts w:ascii="Arial" w:eastAsia="Times New Roman" w:hAnsi="Arial" w:cs="Arial"/>
          <w:b/>
          <w:bCs/>
          <w:sz w:val="32"/>
          <w:szCs w:val="24"/>
        </w:rPr>
        <w:lastRenderedPageBreak/>
        <w:t>Participant Timelines and Assessments</w:t>
      </w:r>
      <w:bookmarkEnd w:id="95"/>
      <w:bookmarkEnd w:id="96"/>
      <w:bookmarkEnd w:id="97"/>
      <w:bookmarkEnd w:id="98"/>
      <w:bookmarkEnd w:id="99"/>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9.1 Participant Identification, Screening and Registration of Patients</w:t>
      </w:r>
    </w:p>
    <w:p w:rsidR="003B3B59" w:rsidRPr="003B3B59" w:rsidRDefault="003B3B59" w:rsidP="001C43B5">
      <w:pPr>
        <w:autoSpaceDE w:val="0"/>
        <w:autoSpaceDN w:val="0"/>
        <w:adjustRightInd w:val="0"/>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 xml:space="preserve">Patients will be identified by </w:t>
      </w:r>
      <w:r w:rsidR="00F57D5C">
        <w:rPr>
          <w:rFonts w:ascii="Arial" w:eastAsia="Times New Roman" w:hAnsi="Arial" w:cs="Arial"/>
          <w:color w:val="282828"/>
          <w:sz w:val="24"/>
          <w:szCs w:val="24"/>
        </w:rPr>
        <w:t>the</w:t>
      </w:r>
      <w:r w:rsidR="00F57D5C" w:rsidRPr="003B3B59">
        <w:rPr>
          <w:rFonts w:ascii="Arial" w:eastAsia="Times New Roman" w:hAnsi="Arial" w:cs="Arial"/>
          <w:color w:val="282828"/>
          <w:sz w:val="24"/>
          <w:szCs w:val="24"/>
        </w:rPr>
        <w:t xml:space="preserve"> </w:t>
      </w:r>
      <w:r w:rsidR="00C07029">
        <w:rPr>
          <w:rFonts w:ascii="Arial" w:eastAsia="Times New Roman" w:hAnsi="Arial" w:cs="Arial"/>
          <w:color w:val="282828"/>
          <w:sz w:val="24"/>
          <w:szCs w:val="24"/>
        </w:rPr>
        <w:t>c</w:t>
      </w:r>
      <w:r w:rsidRPr="003B3B59">
        <w:rPr>
          <w:rFonts w:ascii="Arial" w:eastAsia="Times New Roman" w:hAnsi="Arial" w:cs="Arial"/>
          <w:color w:val="282828"/>
          <w:sz w:val="24"/>
          <w:szCs w:val="24"/>
        </w:rPr>
        <w:t>linical team caring for the patient approaching the patient after reviewing eligibility and for enrolment onto the study</w:t>
      </w:r>
      <w:r w:rsidR="008F7FF4">
        <w:rPr>
          <w:rFonts w:ascii="Arial" w:eastAsia="Times New Roman" w:hAnsi="Arial" w:cs="Arial"/>
          <w:color w:val="282828"/>
          <w:sz w:val="24"/>
          <w:szCs w:val="24"/>
        </w:rPr>
        <w:t xml:space="preserve">. </w:t>
      </w:r>
      <w:r w:rsidRPr="003B3B59">
        <w:rPr>
          <w:rFonts w:ascii="Arial" w:eastAsia="Times New Roman" w:hAnsi="Arial" w:cs="Arial"/>
          <w:color w:val="282828"/>
          <w:sz w:val="24"/>
          <w:szCs w:val="24"/>
        </w:rPr>
        <w:t xml:space="preserve">At participating sites, clinical staff will be made aware of the inclusion criteria for this audit. They will be responsible for ensuring that the patient is eligible to be included in the audit. </w:t>
      </w:r>
      <w:r w:rsidR="00DF27BE">
        <w:rPr>
          <w:rFonts w:ascii="Arial" w:eastAsia="Times New Roman" w:hAnsi="Arial" w:cs="Arial"/>
          <w:color w:val="282828"/>
          <w:sz w:val="24"/>
          <w:szCs w:val="24"/>
        </w:rPr>
        <w:t>New or existing patients with a clinical diagnosis of CNS secondary to breast cancer</w:t>
      </w:r>
      <w:r w:rsidR="00383587">
        <w:rPr>
          <w:rFonts w:ascii="Arial" w:eastAsia="Times New Roman" w:hAnsi="Arial" w:cs="Arial"/>
          <w:color w:val="282828"/>
          <w:sz w:val="24"/>
          <w:szCs w:val="24"/>
        </w:rPr>
        <w:t xml:space="preserve"> (i.e. an active patient)</w:t>
      </w:r>
      <w:r w:rsidR="00DF27BE">
        <w:rPr>
          <w:rFonts w:ascii="Arial" w:eastAsia="Times New Roman" w:hAnsi="Arial" w:cs="Arial"/>
          <w:color w:val="282828"/>
          <w:sz w:val="24"/>
          <w:szCs w:val="24"/>
        </w:rPr>
        <w:t xml:space="preserve"> are eligible to be registered on the study. </w:t>
      </w:r>
    </w:p>
    <w:p w:rsidR="003B3B59" w:rsidRPr="003B3B59" w:rsidRDefault="003B3B59" w:rsidP="001C43B5">
      <w:pPr>
        <w:autoSpaceDE w:val="0"/>
        <w:autoSpaceDN w:val="0"/>
        <w:adjustRightInd w:val="0"/>
        <w:spacing w:after="0" w:line="360" w:lineRule="auto"/>
        <w:jc w:val="both"/>
        <w:rPr>
          <w:rFonts w:ascii="Arial" w:eastAsia="Times New Roman" w:hAnsi="Arial" w:cs="Arial"/>
          <w:color w:val="282828"/>
          <w:sz w:val="24"/>
          <w:szCs w:val="24"/>
        </w:rPr>
      </w:pPr>
    </w:p>
    <w:p w:rsidR="003B3B59" w:rsidRPr="003B3B59" w:rsidRDefault="003B3B59" w:rsidP="001C43B5">
      <w:pPr>
        <w:autoSpaceDE w:val="0"/>
        <w:autoSpaceDN w:val="0"/>
        <w:adjustRightInd w:val="0"/>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To register an eligible patient, the relevant clinical staff member will conduct the following steps (Patient consent is not required.):</w:t>
      </w:r>
    </w:p>
    <w:p w:rsidR="003B3B59" w:rsidRPr="003B3B59" w:rsidRDefault="003B3B59" w:rsidP="001C43B5">
      <w:pPr>
        <w:autoSpaceDE w:val="0"/>
        <w:autoSpaceDN w:val="0"/>
        <w:adjustRightInd w:val="0"/>
        <w:spacing w:after="0" w:line="360" w:lineRule="auto"/>
        <w:jc w:val="both"/>
        <w:rPr>
          <w:rFonts w:ascii="Arial" w:eastAsia="Times New Roman" w:hAnsi="Arial" w:cs="Arial"/>
          <w:color w:val="282828"/>
          <w:sz w:val="24"/>
          <w:szCs w:val="24"/>
        </w:rPr>
      </w:pPr>
    </w:p>
    <w:p w:rsidR="003B3B59" w:rsidRPr="003B3B59" w:rsidRDefault="003B3B59" w:rsidP="001C43B5">
      <w:pPr>
        <w:numPr>
          <w:ilvl w:val="0"/>
          <w:numId w:val="8"/>
        </w:numPr>
        <w:autoSpaceDE w:val="0"/>
        <w:autoSpaceDN w:val="0"/>
        <w:adjustRightInd w:val="0"/>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 xml:space="preserve">Log onto REDCap </w:t>
      </w:r>
    </w:p>
    <w:p w:rsidR="003B3B59" w:rsidRPr="003B3B59" w:rsidRDefault="003B3B59" w:rsidP="001C43B5">
      <w:pPr>
        <w:numPr>
          <w:ilvl w:val="0"/>
          <w:numId w:val="8"/>
        </w:numPr>
        <w:autoSpaceDE w:val="0"/>
        <w:autoSpaceDN w:val="0"/>
        <w:adjustRightInd w:val="0"/>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Check for existing entries for the patient (using NHS number)</w:t>
      </w:r>
    </w:p>
    <w:p w:rsidR="003B3B59" w:rsidRPr="003B3B59" w:rsidRDefault="003B3B59" w:rsidP="001C43B5">
      <w:pPr>
        <w:numPr>
          <w:ilvl w:val="0"/>
          <w:numId w:val="8"/>
        </w:numPr>
        <w:autoSpaceDE w:val="0"/>
        <w:autoSpaceDN w:val="0"/>
        <w:adjustRightInd w:val="0"/>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If patient has not already been registered, create a new study ID</w:t>
      </w:r>
    </w:p>
    <w:p w:rsidR="003B3B59" w:rsidRPr="003B3B59" w:rsidRDefault="003B3B59" w:rsidP="001C43B5">
      <w:pPr>
        <w:autoSpaceDE w:val="0"/>
        <w:autoSpaceDN w:val="0"/>
        <w:adjustRightInd w:val="0"/>
        <w:spacing w:after="0" w:line="360" w:lineRule="auto"/>
        <w:jc w:val="both"/>
        <w:rPr>
          <w:rFonts w:ascii="Arial" w:eastAsia="Times New Roman" w:hAnsi="Arial" w:cs="Arial"/>
          <w:color w:val="282828"/>
          <w:sz w:val="24"/>
          <w:szCs w:val="24"/>
        </w:rPr>
      </w:pPr>
    </w:p>
    <w:p w:rsidR="003B3B59" w:rsidRDefault="003B3B59" w:rsidP="001C43B5">
      <w:pPr>
        <w:autoSpaceDE w:val="0"/>
        <w:autoSpaceDN w:val="0"/>
        <w:adjustRightInd w:val="0"/>
        <w:spacing w:after="0" w:line="360" w:lineRule="auto"/>
        <w:jc w:val="both"/>
        <w:rPr>
          <w:rFonts w:ascii="Arial" w:eastAsia="Times New Roman" w:hAnsi="Arial" w:cs="Arial"/>
          <w:color w:val="282828"/>
          <w:sz w:val="24"/>
          <w:szCs w:val="24"/>
        </w:rPr>
      </w:pPr>
      <w:r w:rsidRPr="003B3B59">
        <w:rPr>
          <w:rFonts w:ascii="Arial" w:eastAsia="Times New Roman" w:hAnsi="Arial" w:cs="Arial"/>
          <w:color w:val="282828"/>
          <w:sz w:val="24"/>
          <w:szCs w:val="24"/>
        </w:rPr>
        <w:t>Once the patient has been registered, the clinical staff member will populate the REDCap database retrospectively using patient notes and record further data onto REDCap from the patient notes for 12 - 18 months as and when the relevant data becomes available.</w:t>
      </w:r>
      <w:r w:rsidR="008F7FF4">
        <w:rPr>
          <w:rFonts w:ascii="Arial" w:eastAsia="Times New Roman" w:hAnsi="Arial" w:cs="Arial"/>
          <w:color w:val="282828"/>
          <w:sz w:val="24"/>
          <w:szCs w:val="24"/>
        </w:rPr>
        <w:t xml:space="preserve"> </w:t>
      </w:r>
      <w:r w:rsidRPr="003B3B59">
        <w:rPr>
          <w:rFonts w:ascii="Arial" w:eastAsia="Times New Roman" w:hAnsi="Arial" w:cs="Arial"/>
          <w:color w:val="282828"/>
          <w:sz w:val="24"/>
          <w:szCs w:val="24"/>
        </w:rPr>
        <w:t xml:space="preserve">No screening logs are required for this audit. </w:t>
      </w:r>
      <w:r w:rsidR="004B1F6E">
        <w:rPr>
          <w:rFonts w:ascii="Arial" w:eastAsia="Times New Roman" w:hAnsi="Arial" w:cs="Arial"/>
          <w:color w:val="282828"/>
          <w:sz w:val="24"/>
          <w:szCs w:val="24"/>
        </w:rPr>
        <w:t xml:space="preserve">Data can be retrospectively filled in onto REDCap for patients who have already known to the clinical services and have a diagnosis (also known as active patients). Data can be prospectively filled in on to REDCap for active patients they routinely visit the clinical care services and for new patients who have been newly diagnosed with CNS involvement secondary to breast cancer. </w:t>
      </w:r>
    </w:p>
    <w:p w:rsidR="00C07029" w:rsidRDefault="00C07029" w:rsidP="001C43B5">
      <w:pPr>
        <w:autoSpaceDE w:val="0"/>
        <w:autoSpaceDN w:val="0"/>
        <w:adjustRightInd w:val="0"/>
        <w:spacing w:after="0" w:line="360" w:lineRule="auto"/>
        <w:jc w:val="both"/>
        <w:rPr>
          <w:rFonts w:ascii="Arial" w:eastAsia="Times New Roman" w:hAnsi="Arial" w:cs="Arial"/>
          <w:color w:val="282828"/>
          <w:sz w:val="24"/>
          <w:szCs w:val="24"/>
        </w:rPr>
      </w:pPr>
    </w:p>
    <w:p w:rsidR="00C07029" w:rsidRPr="003B3B59" w:rsidRDefault="00C0702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A Delegation of Duties Log will be prepared for each site. </w:t>
      </w:r>
      <w:r w:rsidRPr="003B3B59">
        <w:rPr>
          <w:rFonts w:ascii="Arial" w:eastAsia="Times New Roman" w:hAnsi="Arial" w:cs="Arial"/>
          <w:color w:val="000000"/>
          <w:sz w:val="24"/>
          <w:szCs w:val="24"/>
        </w:rPr>
        <w:t>This log will name the Principal Investigator, sub</w:t>
      </w:r>
      <w:r>
        <w:rPr>
          <w:rFonts w:ascii="Arial" w:eastAsia="Times New Roman" w:hAnsi="Arial" w:cs="Arial"/>
          <w:color w:val="000000"/>
          <w:sz w:val="24"/>
          <w:szCs w:val="24"/>
        </w:rPr>
        <w:t>-</w:t>
      </w:r>
      <w:r w:rsidRPr="003B3B59">
        <w:rPr>
          <w:rFonts w:ascii="Arial" w:eastAsia="Times New Roman" w:hAnsi="Arial" w:cs="Arial"/>
          <w:color w:val="000000"/>
          <w:sz w:val="24"/>
          <w:szCs w:val="24"/>
        </w:rPr>
        <w:t>investigator(s), study coordinator(s), and all other clinical staff conducting activities for the audit. New or replacement staff will be added and signed off as appropriate.</w:t>
      </w:r>
    </w:p>
    <w:p w:rsidR="003B3B59" w:rsidRPr="003B3B59" w:rsidRDefault="003B3B59" w:rsidP="001C43B5">
      <w:pPr>
        <w:keepNext/>
        <w:spacing w:before="360" w:after="120" w:line="360" w:lineRule="auto"/>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 xml:space="preserve">9.2 Informed Consent </w:t>
      </w:r>
    </w:p>
    <w:p w:rsidR="003B3B59" w:rsidRPr="003B3B59" w:rsidRDefault="003B3B59" w:rsidP="001C43B5">
      <w:pPr>
        <w:spacing w:after="0" w:line="360" w:lineRule="auto"/>
        <w:jc w:val="both"/>
        <w:rPr>
          <w:rFonts w:ascii="Arial" w:eastAsia="Times New Roman" w:hAnsi="Arial" w:cs="Times New Roman"/>
          <w:color w:val="000000"/>
          <w:sz w:val="24"/>
          <w:szCs w:val="24"/>
        </w:rPr>
      </w:pPr>
      <w:r w:rsidRPr="003B3B59">
        <w:rPr>
          <w:rFonts w:ascii="Arial" w:eastAsia="Times New Roman" w:hAnsi="Arial" w:cs="Times New Roman"/>
          <w:sz w:val="24"/>
          <w:szCs w:val="24"/>
        </w:rPr>
        <w:t xml:space="preserve">This study involves only limited data collection from the routine health record by clinical staff in direct care of the patient. The patient will not be identifiable from the data entered into the audit database. Informed consent does not need to be sought from the patient. Patient Information Sheets and/or Consent forms are not required for this study. </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lastRenderedPageBreak/>
        <w:t>9.3 Eligibility Assessment and Confirmation</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Eligibility can only be confirmed by an appropriately qualified medical professional who is named on the delegation log. Eligibility criteria are described in Section 7. Eligibility confirmation must be documented in the patient’s medical notes. No assessments additional to the patient’s standard care are required to confirm eligibility for this audit.</w:t>
      </w:r>
    </w:p>
    <w:p w:rsidR="008F7FF4" w:rsidRDefault="008F7FF4" w:rsidP="001C43B5">
      <w:pPr>
        <w:spacing w:line="360" w:lineRule="auto"/>
        <w:rPr>
          <w:rFonts w:ascii="Arial" w:eastAsia="Times New Roman" w:hAnsi="Arial" w:cs="Times New Roman"/>
          <w:b/>
          <w:bCs/>
          <w:color w:val="000000"/>
          <w:sz w:val="28"/>
          <w:szCs w:val="21"/>
        </w:rPr>
      </w:pPr>
      <w:r>
        <w:rPr>
          <w:rFonts w:ascii="Arial" w:eastAsia="Times New Roman" w:hAnsi="Arial" w:cs="Times New Roman"/>
          <w:b/>
          <w:bCs/>
          <w:color w:val="000000"/>
          <w:sz w:val="28"/>
          <w:szCs w:val="21"/>
        </w:rPr>
        <w:br w:type="page"/>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lastRenderedPageBreak/>
        <w:t>9.4 Schedule for Assessments and Follow-up</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The frequency of follow-up or follow-up duration cannot be pre-determined or pre-planned. Follow-ups may take the form of face to face visit or telephone appointment. In either case, follow-up will be part of the routine assessment and care.</w:t>
      </w:r>
    </w:p>
    <w:p w:rsidR="003B3B59" w:rsidRPr="003B3B59" w:rsidRDefault="003B3B59" w:rsidP="001C43B5">
      <w:pPr>
        <w:spacing w:after="0" w:line="360" w:lineRule="auto"/>
        <w:jc w:val="both"/>
        <w:rPr>
          <w:rFonts w:ascii="Arial" w:eastAsia="Times New Roman" w:hAnsi="Arial"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2041"/>
        <w:gridCol w:w="2041"/>
        <w:gridCol w:w="2041"/>
      </w:tblGrid>
      <w:tr w:rsidR="003B3B59" w:rsidRPr="003B3B59" w:rsidTr="003B3B59">
        <w:tc>
          <w:tcPr>
            <w:tcW w:w="2072" w:type="pct"/>
            <w:shd w:val="clear" w:color="auto" w:fill="FCD2F7"/>
          </w:tcPr>
          <w:p w:rsidR="003B3B59" w:rsidRPr="003B3B59" w:rsidRDefault="003B3B59" w:rsidP="001C43B5">
            <w:pPr>
              <w:spacing w:before="120" w:after="120" w:line="360" w:lineRule="auto"/>
              <w:jc w:val="both"/>
              <w:rPr>
                <w:rFonts w:ascii="Arial" w:eastAsia="Times New Roman" w:hAnsi="Arial" w:cs="Arial"/>
                <w:b/>
                <w:bCs/>
                <w:sz w:val="24"/>
                <w:szCs w:val="24"/>
              </w:rPr>
            </w:pPr>
            <w:r w:rsidRPr="003B3B59">
              <w:rPr>
                <w:rFonts w:ascii="Arial" w:eastAsia="Times New Roman" w:hAnsi="Arial" w:cs="Arial"/>
                <w:b/>
                <w:bCs/>
                <w:sz w:val="24"/>
                <w:szCs w:val="24"/>
              </w:rPr>
              <w:t>DATA COLLECTION</w:t>
            </w:r>
          </w:p>
        </w:tc>
        <w:tc>
          <w:tcPr>
            <w:tcW w:w="976" w:type="pct"/>
            <w:shd w:val="clear" w:color="auto" w:fill="FCD2F7"/>
          </w:tcPr>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Baseline</w:t>
            </w:r>
          </w:p>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(Day 1)</w:t>
            </w:r>
          </w:p>
        </w:tc>
        <w:tc>
          <w:tcPr>
            <w:tcW w:w="976" w:type="pct"/>
            <w:shd w:val="clear" w:color="auto" w:fill="FCD2F7"/>
          </w:tcPr>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Every routine clinic visit</w:t>
            </w:r>
          </w:p>
        </w:tc>
        <w:tc>
          <w:tcPr>
            <w:tcW w:w="976" w:type="pct"/>
            <w:shd w:val="clear" w:color="auto" w:fill="FCD2F7"/>
          </w:tcPr>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 xml:space="preserve">Final visit </w:t>
            </w:r>
          </w:p>
        </w:tc>
      </w:tr>
      <w:tr w:rsidR="003B3B59" w:rsidRPr="003B3B59" w:rsidTr="003B3B59">
        <w:tc>
          <w:tcPr>
            <w:tcW w:w="2072" w:type="pct"/>
            <w:shd w:val="clear" w:color="auto" w:fill="auto"/>
          </w:tcPr>
          <w:p w:rsidR="003B3B59" w:rsidRPr="003B3B59" w:rsidRDefault="003B3B59" w:rsidP="001C43B5">
            <w:pPr>
              <w:spacing w:before="120" w:after="120" w:line="360" w:lineRule="auto"/>
              <w:jc w:val="both"/>
              <w:rPr>
                <w:rFonts w:ascii="Arial" w:eastAsia="Times New Roman" w:hAnsi="Arial" w:cs="Arial"/>
                <w:sz w:val="24"/>
                <w:szCs w:val="24"/>
              </w:rPr>
            </w:pPr>
            <w:r w:rsidRPr="003B3B59">
              <w:rPr>
                <w:rFonts w:ascii="Arial" w:eastAsia="Times New Roman" w:hAnsi="Arial" w:cs="Arial"/>
                <w:sz w:val="24"/>
                <w:szCs w:val="24"/>
              </w:rPr>
              <w:t>Demographic Information</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X</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rPr>
            </w:pPr>
          </w:p>
        </w:tc>
        <w:tc>
          <w:tcPr>
            <w:tcW w:w="976" w:type="pct"/>
          </w:tcPr>
          <w:p w:rsidR="003B3B59" w:rsidRPr="003B3B59" w:rsidRDefault="003B3B59" w:rsidP="001C43B5">
            <w:pPr>
              <w:spacing w:before="120" w:after="120" w:line="360" w:lineRule="auto"/>
              <w:jc w:val="center"/>
              <w:rPr>
                <w:rFonts w:ascii="Arial" w:eastAsia="Times New Roman" w:hAnsi="Arial" w:cs="Arial"/>
                <w:sz w:val="24"/>
                <w:szCs w:val="24"/>
              </w:rPr>
            </w:pPr>
          </w:p>
        </w:tc>
      </w:tr>
      <w:tr w:rsidR="003B3B59" w:rsidRPr="003B3B59" w:rsidTr="003B3B59">
        <w:tc>
          <w:tcPr>
            <w:tcW w:w="2072" w:type="pct"/>
            <w:shd w:val="clear" w:color="auto" w:fill="auto"/>
          </w:tcPr>
          <w:p w:rsidR="003B3B59" w:rsidRPr="003B3B59" w:rsidRDefault="003B3B59" w:rsidP="001C43B5">
            <w:pPr>
              <w:spacing w:before="120" w:after="120" w:line="360" w:lineRule="auto"/>
              <w:jc w:val="both"/>
              <w:rPr>
                <w:rFonts w:ascii="Arial" w:eastAsia="Times New Roman" w:hAnsi="Arial" w:cs="Arial"/>
                <w:sz w:val="24"/>
                <w:szCs w:val="24"/>
              </w:rPr>
            </w:pPr>
            <w:r w:rsidRPr="003B3B59">
              <w:rPr>
                <w:rFonts w:ascii="Arial" w:eastAsia="Times New Roman" w:hAnsi="Arial" w:cs="Arial"/>
                <w:sz w:val="24"/>
                <w:szCs w:val="24"/>
              </w:rPr>
              <w:t>Disease history and characteristics</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X</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rPr>
            </w:pPr>
          </w:p>
        </w:tc>
        <w:tc>
          <w:tcPr>
            <w:tcW w:w="976" w:type="pct"/>
          </w:tcPr>
          <w:p w:rsidR="003B3B59" w:rsidRPr="003B3B59" w:rsidRDefault="003B3B59" w:rsidP="001C43B5">
            <w:pPr>
              <w:spacing w:before="120" w:after="120" w:line="360" w:lineRule="auto"/>
              <w:jc w:val="center"/>
              <w:rPr>
                <w:rFonts w:ascii="Arial" w:eastAsia="Times New Roman" w:hAnsi="Arial" w:cs="Arial"/>
                <w:sz w:val="24"/>
                <w:szCs w:val="24"/>
              </w:rPr>
            </w:pPr>
          </w:p>
        </w:tc>
      </w:tr>
      <w:tr w:rsidR="003B3B59" w:rsidRPr="003B3B59" w:rsidTr="003B3B59">
        <w:tc>
          <w:tcPr>
            <w:tcW w:w="2072" w:type="pct"/>
            <w:shd w:val="clear" w:color="auto" w:fill="auto"/>
          </w:tcPr>
          <w:p w:rsidR="003B3B59" w:rsidRPr="003B3B59" w:rsidRDefault="003B3B59" w:rsidP="001C43B5">
            <w:pPr>
              <w:spacing w:before="120" w:after="120" w:line="360" w:lineRule="auto"/>
              <w:jc w:val="both"/>
              <w:rPr>
                <w:rFonts w:ascii="Arial" w:eastAsia="Times New Roman" w:hAnsi="Arial" w:cs="Arial"/>
                <w:sz w:val="24"/>
                <w:szCs w:val="24"/>
                <w:lang w:val="en-US"/>
              </w:rPr>
            </w:pPr>
            <w:r w:rsidRPr="003B3B59">
              <w:rPr>
                <w:rFonts w:ascii="Arial" w:eastAsia="Times New Roman" w:hAnsi="Arial" w:cs="Arial"/>
                <w:sz w:val="24"/>
                <w:szCs w:val="24"/>
                <w:lang w:val="en-US"/>
              </w:rPr>
              <w:t>Prior Cancer Treatment</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rPr>
            </w:pPr>
            <w:r w:rsidRPr="003B3B59">
              <w:rPr>
                <w:rFonts w:ascii="Arial" w:eastAsia="Times New Roman" w:hAnsi="Arial" w:cs="Arial"/>
                <w:sz w:val="24"/>
                <w:szCs w:val="24"/>
              </w:rPr>
              <w:t>X</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rPr>
            </w:pPr>
          </w:p>
        </w:tc>
        <w:tc>
          <w:tcPr>
            <w:tcW w:w="976" w:type="pct"/>
          </w:tcPr>
          <w:p w:rsidR="003B3B59" w:rsidRPr="003B3B59" w:rsidRDefault="003B3B59" w:rsidP="001C43B5">
            <w:pPr>
              <w:spacing w:before="120" w:after="120" w:line="360" w:lineRule="auto"/>
              <w:jc w:val="center"/>
              <w:rPr>
                <w:rFonts w:ascii="Arial" w:eastAsia="Times New Roman" w:hAnsi="Arial" w:cs="Arial"/>
                <w:sz w:val="24"/>
                <w:szCs w:val="24"/>
              </w:rPr>
            </w:pPr>
          </w:p>
        </w:tc>
      </w:tr>
      <w:tr w:rsidR="003B3B59" w:rsidRPr="003B3B59" w:rsidTr="003B3B59">
        <w:tc>
          <w:tcPr>
            <w:tcW w:w="2072" w:type="pct"/>
            <w:shd w:val="clear" w:color="auto" w:fill="auto"/>
          </w:tcPr>
          <w:p w:rsidR="003B3B59" w:rsidRPr="003B3B59" w:rsidRDefault="003B3B59" w:rsidP="001C43B5">
            <w:pPr>
              <w:spacing w:before="120" w:after="120" w:line="360" w:lineRule="auto"/>
              <w:jc w:val="both"/>
              <w:rPr>
                <w:rFonts w:ascii="Arial" w:eastAsia="Times New Roman" w:hAnsi="Arial" w:cs="Arial"/>
                <w:sz w:val="24"/>
                <w:szCs w:val="24"/>
                <w:lang w:val="en-US"/>
              </w:rPr>
            </w:pPr>
            <w:r w:rsidRPr="003B3B59">
              <w:rPr>
                <w:rFonts w:ascii="Arial" w:eastAsia="Times New Roman" w:hAnsi="Arial" w:cs="Arial"/>
                <w:sz w:val="24"/>
                <w:szCs w:val="24"/>
                <w:lang w:val="en-US"/>
              </w:rPr>
              <w:t xml:space="preserve">Current anti-Cancer Treatment and Concomitant medications </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lang w:val="en-US"/>
              </w:rPr>
            </w:pPr>
            <w:r w:rsidRPr="003B3B59">
              <w:rPr>
                <w:rFonts w:ascii="Arial" w:eastAsia="Times New Roman" w:hAnsi="Arial" w:cs="Arial"/>
                <w:sz w:val="24"/>
                <w:szCs w:val="24"/>
                <w:lang w:val="en-US"/>
              </w:rPr>
              <w:t>X</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lang w:val="en-US"/>
              </w:rPr>
            </w:pPr>
            <w:r w:rsidRPr="003B3B59">
              <w:rPr>
                <w:rFonts w:ascii="Arial" w:eastAsia="Times New Roman" w:hAnsi="Arial" w:cs="Arial"/>
                <w:sz w:val="24"/>
                <w:szCs w:val="24"/>
                <w:lang w:val="en-US"/>
              </w:rPr>
              <w:t>X</w:t>
            </w:r>
          </w:p>
        </w:tc>
        <w:tc>
          <w:tcPr>
            <w:tcW w:w="976" w:type="pct"/>
          </w:tcPr>
          <w:p w:rsidR="003B3B59" w:rsidRPr="003B3B59" w:rsidRDefault="003B3B59" w:rsidP="001C43B5">
            <w:pPr>
              <w:spacing w:before="120" w:after="120" w:line="360" w:lineRule="auto"/>
              <w:jc w:val="center"/>
              <w:rPr>
                <w:rFonts w:ascii="Arial" w:eastAsia="Times New Roman" w:hAnsi="Arial" w:cs="Arial"/>
                <w:sz w:val="24"/>
                <w:szCs w:val="24"/>
                <w:lang w:val="en-US"/>
              </w:rPr>
            </w:pPr>
          </w:p>
        </w:tc>
      </w:tr>
      <w:tr w:rsidR="003B3B59" w:rsidRPr="003B3B59" w:rsidTr="003B3B59">
        <w:tc>
          <w:tcPr>
            <w:tcW w:w="2072" w:type="pct"/>
            <w:shd w:val="clear" w:color="auto" w:fill="auto"/>
          </w:tcPr>
          <w:p w:rsidR="003B3B59" w:rsidRPr="003B3B59" w:rsidRDefault="003B3B59" w:rsidP="001C43B5">
            <w:pPr>
              <w:spacing w:before="120" w:after="120" w:line="360" w:lineRule="auto"/>
              <w:jc w:val="both"/>
              <w:rPr>
                <w:rFonts w:ascii="Arial" w:eastAsia="Times New Roman" w:hAnsi="Arial" w:cs="Arial"/>
                <w:sz w:val="24"/>
                <w:szCs w:val="24"/>
                <w:lang w:val="en-US"/>
              </w:rPr>
            </w:pPr>
            <w:r w:rsidRPr="003B3B59">
              <w:rPr>
                <w:rFonts w:ascii="Arial" w:eastAsia="Times New Roman" w:hAnsi="Arial" w:cs="Arial"/>
                <w:sz w:val="24"/>
                <w:szCs w:val="24"/>
                <w:lang w:val="en-US"/>
              </w:rPr>
              <w:t xml:space="preserve">Progression details </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lang w:val="en-US"/>
              </w:rPr>
            </w:pP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lang w:val="en-US"/>
              </w:rPr>
            </w:pPr>
            <w:r w:rsidRPr="003B3B59">
              <w:rPr>
                <w:rFonts w:ascii="Arial" w:eastAsia="Times New Roman" w:hAnsi="Arial" w:cs="Arial"/>
                <w:sz w:val="24"/>
                <w:szCs w:val="24"/>
                <w:lang w:val="en-US"/>
              </w:rPr>
              <w:t>X</w:t>
            </w:r>
          </w:p>
        </w:tc>
        <w:tc>
          <w:tcPr>
            <w:tcW w:w="976" w:type="pct"/>
          </w:tcPr>
          <w:p w:rsidR="003B3B59" w:rsidRPr="003B3B59" w:rsidRDefault="003B3B59" w:rsidP="001C43B5">
            <w:pPr>
              <w:spacing w:before="120" w:after="120" w:line="360" w:lineRule="auto"/>
              <w:jc w:val="center"/>
              <w:rPr>
                <w:rFonts w:ascii="Arial" w:eastAsia="Times New Roman" w:hAnsi="Arial" w:cs="Arial"/>
                <w:sz w:val="24"/>
                <w:szCs w:val="24"/>
                <w:lang w:val="en-US"/>
              </w:rPr>
            </w:pPr>
          </w:p>
        </w:tc>
      </w:tr>
      <w:tr w:rsidR="003B3B59" w:rsidRPr="003B3B59" w:rsidTr="003B3B59">
        <w:tc>
          <w:tcPr>
            <w:tcW w:w="2072" w:type="pct"/>
            <w:shd w:val="clear" w:color="auto" w:fill="auto"/>
          </w:tcPr>
          <w:p w:rsidR="003B3B59" w:rsidRPr="003B3B59" w:rsidRDefault="003B3B59" w:rsidP="001C43B5">
            <w:pPr>
              <w:spacing w:before="120" w:after="120" w:line="360" w:lineRule="auto"/>
              <w:jc w:val="both"/>
              <w:rPr>
                <w:rFonts w:ascii="Arial" w:eastAsia="Times New Roman" w:hAnsi="Arial" w:cs="Arial"/>
                <w:sz w:val="24"/>
                <w:szCs w:val="24"/>
                <w:lang w:val="en-US"/>
              </w:rPr>
            </w:pPr>
            <w:r w:rsidRPr="003B3B59">
              <w:rPr>
                <w:rFonts w:ascii="Arial" w:eastAsia="Times New Roman" w:hAnsi="Arial" w:cs="Arial"/>
                <w:sz w:val="24"/>
                <w:szCs w:val="24"/>
                <w:lang w:val="en-US"/>
              </w:rPr>
              <w:t>Outcome (Death, lost to follow up)</w:t>
            </w: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lang w:val="en-US"/>
              </w:rPr>
            </w:pPr>
          </w:p>
        </w:tc>
        <w:tc>
          <w:tcPr>
            <w:tcW w:w="976" w:type="pct"/>
            <w:shd w:val="clear" w:color="auto" w:fill="auto"/>
          </w:tcPr>
          <w:p w:rsidR="003B3B59" w:rsidRPr="003B3B59" w:rsidRDefault="003B3B59" w:rsidP="001C43B5">
            <w:pPr>
              <w:spacing w:before="120" w:after="120" w:line="360" w:lineRule="auto"/>
              <w:jc w:val="center"/>
              <w:rPr>
                <w:rFonts w:ascii="Arial" w:eastAsia="Times New Roman" w:hAnsi="Arial" w:cs="Arial"/>
                <w:sz w:val="24"/>
                <w:szCs w:val="24"/>
                <w:lang w:val="en-US"/>
              </w:rPr>
            </w:pPr>
          </w:p>
        </w:tc>
        <w:tc>
          <w:tcPr>
            <w:tcW w:w="976" w:type="pct"/>
          </w:tcPr>
          <w:p w:rsidR="003B3B59" w:rsidRPr="003B3B59" w:rsidRDefault="003B3B59" w:rsidP="001C43B5">
            <w:pPr>
              <w:spacing w:before="120" w:after="120" w:line="360" w:lineRule="auto"/>
              <w:jc w:val="center"/>
              <w:rPr>
                <w:rFonts w:ascii="Arial" w:eastAsia="Times New Roman" w:hAnsi="Arial" w:cs="Arial"/>
                <w:sz w:val="24"/>
                <w:szCs w:val="24"/>
                <w:lang w:val="en-US"/>
              </w:rPr>
            </w:pPr>
            <w:r w:rsidRPr="003B3B59">
              <w:rPr>
                <w:rFonts w:ascii="Arial" w:eastAsia="Times New Roman" w:hAnsi="Arial" w:cs="Arial"/>
                <w:sz w:val="24"/>
                <w:szCs w:val="24"/>
                <w:lang w:val="en-US"/>
              </w:rPr>
              <w:t>X</w:t>
            </w:r>
          </w:p>
        </w:tc>
      </w:tr>
    </w:tbl>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9.5 End of Audit</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The end of the audit is defined as the date on which data for all participants is frozen and data entry privileges are withdrawn from the audit database. The </w:t>
      </w:r>
      <w:r w:rsidR="00B93747">
        <w:rPr>
          <w:rFonts w:ascii="Arial" w:eastAsia="Times New Roman" w:hAnsi="Arial" w:cs="Times New Roman"/>
          <w:sz w:val="24"/>
          <w:szCs w:val="24"/>
        </w:rPr>
        <w:t>audit</w:t>
      </w:r>
      <w:r w:rsidRPr="003B3B59">
        <w:rPr>
          <w:rFonts w:ascii="Arial" w:eastAsia="Times New Roman" w:hAnsi="Arial" w:cs="Times New Roman"/>
          <w:sz w:val="24"/>
          <w:szCs w:val="24"/>
        </w:rPr>
        <w:t xml:space="preserve"> may be closed prematurely by the Trial Steering Committee (TSC).</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Times New Roman"/>
          <w:sz w:val="24"/>
          <w:szCs w:val="24"/>
        </w:rPr>
        <w:t xml:space="preserve">Site and study closure activities will be centrally coordinated and </w:t>
      </w:r>
      <w:r w:rsidRPr="003B3B59">
        <w:rPr>
          <w:rFonts w:ascii="Arial" w:eastAsia="Times New Roman" w:hAnsi="Arial" w:cs="Arial"/>
          <w:sz w:val="24"/>
          <w:szCs w:val="24"/>
        </w:rPr>
        <w:t>conducted in accordance with CTU processes regardless of whether the closes as planned or prematurely. This includes activities such as:</w:t>
      </w:r>
    </w:p>
    <w:p w:rsidR="003B3B59" w:rsidRPr="003B3B59" w:rsidRDefault="003B3B59" w:rsidP="001C43B5">
      <w:pPr>
        <w:numPr>
          <w:ilvl w:val="0"/>
          <w:numId w:val="12"/>
        </w:num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Checking that all site data entered onto the study database, discrepancies raised, and satisfactory responses received</w:t>
      </w:r>
    </w:p>
    <w:p w:rsidR="003B3B59" w:rsidRPr="003B3B59" w:rsidRDefault="003B3B59" w:rsidP="001C43B5">
      <w:pPr>
        <w:numPr>
          <w:ilvl w:val="0"/>
          <w:numId w:val="12"/>
        </w:num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Quality Control checks of the Investigator Site Files and Trial Master File as appropriate.</w:t>
      </w:r>
    </w:p>
    <w:p w:rsidR="003B3B59" w:rsidRPr="003B3B59" w:rsidRDefault="003B3B59" w:rsidP="001C43B5">
      <w:pPr>
        <w:keepNext/>
        <w:pageBreakBefore/>
        <w:spacing w:after="360" w:line="360" w:lineRule="auto"/>
        <w:ind w:left="567" w:hanging="567"/>
        <w:outlineLvl w:val="0"/>
        <w:rPr>
          <w:rFonts w:ascii="Arial" w:eastAsia="Times New Roman" w:hAnsi="Arial" w:cs="Arial"/>
          <w:b/>
          <w:bCs/>
          <w:sz w:val="32"/>
          <w:szCs w:val="24"/>
        </w:rPr>
      </w:pPr>
      <w:bookmarkStart w:id="100" w:name="_Toc38877242"/>
      <w:bookmarkStart w:id="101" w:name="_Toc42020751"/>
      <w:bookmarkStart w:id="102" w:name="_Toc42077788"/>
      <w:bookmarkStart w:id="103" w:name="_Toc32578525"/>
      <w:bookmarkStart w:id="104" w:name="_Toc44574203"/>
      <w:r w:rsidRPr="003B3B59">
        <w:rPr>
          <w:rFonts w:ascii="Arial" w:eastAsia="Times New Roman" w:hAnsi="Arial" w:cs="Arial"/>
          <w:b/>
          <w:bCs/>
          <w:sz w:val="32"/>
          <w:szCs w:val="24"/>
        </w:rPr>
        <w:lastRenderedPageBreak/>
        <w:t>10</w:t>
      </w:r>
      <w:r w:rsidR="00D405BC">
        <w:rPr>
          <w:rFonts w:ascii="Arial" w:eastAsia="Times New Roman" w:hAnsi="Arial" w:cs="Arial"/>
          <w:b/>
          <w:bCs/>
          <w:sz w:val="32"/>
          <w:szCs w:val="24"/>
        </w:rPr>
        <w:t>.</w:t>
      </w:r>
      <w:r w:rsidRPr="003B3B59">
        <w:rPr>
          <w:rFonts w:ascii="Arial" w:eastAsia="Times New Roman" w:hAnsi="Arial" w:cs="Arial"/>
          <w:b/>
          <w:bCs/>
          <w:sz w:val="32"/>
          <w:szCs w:val="24"/>
        </w:rPr>
        <w:t xml:space="preserve">   Safety Reporting</w:t>
      </w:r>
      <w:bookmarkEnd w:id="100"/>
      <w:bookmarkEnd w:id="101"/>
      <w:bookmarkEnd w:id="102"/>
      <w:bookmarkEnd w:id="104"/>
    </w:p>
    <w:p w:rsidR="003B3B59" w:rsidRPr="003B3B59" w:rsidRDefault="003B3B59" w:rsidP="001C43B5">
      <w:pPr>
        <w:autoSpaceDE w:val="0"/>
        <w:autoSpaceDN w:val="0"/>
        <w:adjustRightInd w:val="0"/>
        <w:spacing w:after="0" w:line="360" w:lineRule="auto"/>
        <w:jc w:val="both"/>
        <w:rPr>
          <w:rFonts w:ascii="Arial" w:eastAsia="Times New Roman" w:hAnsi="Arial" w:cs="Arial"/>
          <w:sz w:val="24"/>
        </w:rPr>
      </w:pPr>
      <w:r w:rsidRPr="003B3B59">
        <w:rPr>
          <w:rFonts w:ascii="Arial" w:eastAsia="Times New Roman" w:hAnsi="Arial" w:cs="Arial"/>
          <w:sz w:val="24"/>
        </w:rPr>
        <w:t>The safety events cannot be attributed to this study as this is an audit study with no out-of-routine procedures, trials, interventions, devices etc. Therefore, assessment of “causality” – relationship of the safety event to the audit study is not required. Safety event recording is not necessary for this study.</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10.1 Reporting of Pregnancy</w:t>
      </w:r>
    </w:p>
    <w:p w:rsidR="003B3B59" w:rsidRPr="003B3B59" w:rsidRDefault="003B3B59" w:rsidP="001C43B5">
      <w:pPr>
        <w:autoSpaceDE w:val="0"/>
        <w:autoSpaceDN w:val="0"/>
        <w:adjustRightInd w:val="0"/>
        <w:spacing w:after="0" w:line="360" w:lineRule="auto"/>
        <w:jc w:val="both"/>
        <w:rPr>
          <w:rFonts w:ascii="Arial" w:eastAsia="Times New Roman" w:hAnsi="Arial" w:cs="Arial"/>
          <w:sz w:val="24"/>
        </w:rPr>
      </w:pPr>
      <w:r w:rsidRPr="003B3B59">
        <w:rPr>
          <w:rFonts w:ascii="Arial" w:eastAsia="Times New Roman" w:hAnsi="Arial" w:cs="Times New Roman"/>
          <w:sz w:val="24"/>
          <w:szCs w:val="24"/>
        </w:rPr>
        <w:t>Pregnancy women will not be excluded from this study. The audit will have no arms or factors to affect the pregnancy of the patient. A</w:t>
      </w:r>
      <w:r w:rsidRPr="003B3B59">
        <w:rPr>
          <w:rFonts w:ascii="Arial" w:eastAsia="Times New Roman" w:hAnsi="Arial" w:cs="Arial"/>
          <w:sz w:val="24"/>
        </w:rPr>
        <w:t xml:space="preserve">ll pregnancies will be followed up to outcome. A pregnancy report form will be filled out if a participant is pregnant or becomes pregnant. </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bookmarkStart w:id="105" w:name="_Toc32578514"/>
      <w:r w:rsidRPr="003B3B59">
        <w:rPr>
          <w:rFonts w:ascii="Arial" w:eastAsia="Times New Roman" w:hAnsi="Arial" w:cs="Times New Roman"/>
          <w:b/>
          <w:bCs/>
          <w:color w:val="000000"/>
          <w:sz w:val="28"/>
          <w:szCs w:val="21"/>
        </w:rPr>
        <w:t>10.2 Notification of Deaths</w:t>
      </w:r>
      <w:bookmarkEnd w:id="105"/>
      <w:r w:rsidRPr="003B3B59">
        <w:rPr>
          <w:rFonts w:ascii="Arial" w:eastAsia="Times New Roman" w:hAnsi="Arial" w:cs="Times New Roman"/>
          <w:b/>
          <w:bCs/>
          <w:color w:val="000000"/>
          <w:sz w:val="28"/>
          <w:szCs w:val="21"/>
        </w:rPr>
        <w:t xml:space="preserve"> </w:t>
      </w: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rPr>
        <w:t>If the research team become aware of the death of a participant this should be notified to the LCTC using the appropriate CRF within 24 hours of becoming aware.</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10.3 Contact details and Out-of-hours Medical Cover</w:t>
      </w: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This audit is low risk as it involves routine care and no non-standard care. Emergency and out-of-hours medical care will be in line with usual NHS arrangements and local standard practice; no special provision is required for participants in this observational study. During office hours, the CI or delegate are able to provide medical advice in relation to participation using the contact details listed at the beginning of this document.</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keepNext/>
        <w:pageBreakBefore/>
        <w:tabs>
          <w:tab w:val="left" w:pos="0"/>
        </w:tabs>
        <w:spacing w:after="360" w:line="360" w:lineRule="auto"/>
        <w:ind w:left="567" w:hanging="567"/>
        <w:jc w:val="both"/>
        <w:outlineLvl w:val="0"/>
        <w:rPr>
          <w:rFonts w:ascii="Arial" w:eastAsia="Times New Roman" w:hAnsi="Arial" w:cs="Arial"/>
          <w:b/>
          <w:bCs/>
          <w:sz w:val="32"/>
          <w:szCs w:val="24"/>
        </w:rPr>
      </w:pPr>
      <w:bookmarkStart w:id="106" w:name="_Ref37836137"/>
      <w:bookmarkStart w:id="107" w:name="_Ref37836167"/>
      <w:bookmarkStart w:id="108" w:name="_Ref37836168"/>
      <w:bookmarkStart w:id="109" w:name="_Ref37836170"/>
      <w:bookmarkStart w:id="110" w:name="_Toc38877243"/>
      <w:bookmarkStart w:id="111" w:name="_Toc42020752"/>
      <w:bookmarkStart w:id="112" w:name="_Toc42077789"/>
      <w:bookmarkStart w:id="113" w:name="_Toc44574204"/>
      <w:r w:rsidRPr="00F17660">
        <w:rPr>
          <w:rFonts w:ascii="Arial" w:eastAsia="Times New Roman" w:hAnsi="Arial" w:cs="Arial"/>
          <w:b/>
          <w:bCs/>
          <w:sz w:val="32"/>
          <w:szCs w:val="24"/>
        </w:rPr>
        <w:lastRenderedPageBreak/>
        <w:t>11</w:t>
      </w:r>
      <w:r w:rsidR="00D405BC">
        <w:rPr>
          <w:rFonts w:ascii="Arial" w:eastAsia="Times New Roman" w:hAnsi="Arial" w:cs="Arial"/>
          <w:b/>
          <w:bCs/>
          <w:sz w:val="32"/>
          <w:szCs w:val="24"/>
        </w:rPr>
        <w:t>.</w:t>
      </w:r>
      <w:r w:rsidRPr="00F17660">
        <w:rPr>
          <w:rFonts w:ascii="Arial" w:eastAsia="Times New Roman" w:hAnsi="Arial" w:cs="Arial"/>
          <w:b/>
          <w:bCs/>
          <w:sz w:val="32"/>
          <w:szCs w:val="24"/>
        </w:rPr>
        <w:t xml:space="preserve">   Statistical Considerations</w:t>
      </w:r>
      <w:bookmarkEnd w:id="106"/>
      <w:bookmarkEnd w:id="107"/>
      <w:bookmarkEnd w:id="108"/>
      <w:bookmarkEnd w:id="109"/>
      <w:bookmarkEnd w:id="110"/>
      <w:bookmarkEnd w:id="111"/>
      <w:bookmarkEnd w:id="112"/>
      <w:bookmarkEnd w:id="113"/>
      <w:r w:rsidRPr="003B3B59">
        <w:rPr>
          <w:rFonts w:ascii="Arial" w:eastAsia="Times New Roman" w:hAnsi="Arial" w:cs="Arial"/>
          <w:b/>
          <w:bCs/>
          <w:sz w:val="32"/>
          <w:szCs w:val="24"/>
        </w:rPr>
        <w:t xml:space="preserve"> </w:t>
      </w:r>
      <w:bookmarkEnd w:id="103"/>
    </w:p>
    <w:p w:rsidR="003B3B59" w:rsidRPr="003B3B59" w:rsidRDefault="003B3B59" w:rsidP="001C43B5">
      <w:pPr>
        <w:keepNext/>
        <w:spacing w:before="360" w:after="120" w:line="360" w:lineRule="auto"/>
        <w:ind w:left="993" w:hanging="993"/>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11.1 Introduction</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 xml:space="preserve">Details are included on the statistical principles underlying the </w:t>
      </w:r>
      <w:r w:rsidR="00B93747">
        <w:rPr>
          <w:rFonts w:ascii="Arial" w:eastAsia="Times New Roman" w:hAnsi="Arial" w:cs="Times New Roman"/>
          <w:sz w:val="24"/>
          <w:szCs w:val="28"/>
        </w:rPr>
        <w:t>audit</w:t>
      </w:r>
      <w:r w:rsidRPr="003B3B59">
        <w:rPr>
          <w:rFonts w:ascii="Arial" w:eastAsia="Times New Roman" w:hAnsi="Arial" w:cs="Times New Roman"/>
          <w:sz w:val="24"/>
          <w:szCs w:val="28"/>
        </w:rPr>
        <w:t xml:space="preserve"> design and an overview of the statistical methodology applies.</w:t>
      </w:r>
      <w:r w:rsidR="00B93747">
        <w:rPr>
          <w:rFonts w:ascii="Arial" w:eastAsia="Times New Roman" w:hAnsi="Arial" w:cs="Times New Roman"/>
          <w:sz w:val="24"/>
          <w:szCs w:val="28"/>
        </w:rPr>
        <w:t xml:space="preserve"> </w:t>
      </w:r>
      <w:r w:rsidRPr="003B3B59">
        <w:rPr>
          <w:rFonts w:ascii="Arial" w:eastAsia="Times New Roman" w:hAnsi="Arial" w:cs="Times New Roman"/>
          <w:sz w:val="24"/>
          <w:szCs w:val="28"/>
        </w:rPr>
        <w:t>Full details of all analyses performed will be included in a separate Statistical Analysis Plan.</w:t>
      </w:r>
    </w:p>
    <w:p w:rsidR="003B3B59" w:rsidRPr="003B3B59" w:rsidRDefault="003B3B59" w:rsidP="001C43B5">
      <w:pPr>
        <w:keepNext/>
        <w:spacing w:before="360" w:after="120" w:line="360" w:lineRule="auto"/>
        <w:ind w:left="993" w:hanging="993"/>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11.2 Sample Size and Recruitment</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As an audit study, no formal sample size is set based on study hypothesis.  A target for the audit is to obtain 300 patients and given the poor prognosis of the target population it is a reasonable target that 100 events will be observed. The primary endpoint of the study is to measure the overall survival of the patient group and what clinical/demographic factors are prognostic. Assuming 100 events, a log hazard ratio to evaluate differences due to any known prognostic factors will have a conservative estimated standard error of 0.25 meaning that a 95% confidence outside of the range 0.6</w:t>
      </w:r>
      <w:r w:rsidR="00E821BF">
        <w:rPr>
          <w:rFonts w:ascii="Arial" w:eastAsia="Times New Roman" w:hAnsi="Arial" w:cs="Times New Roman"/>
          <w:sz w:val="24"/>
          <w:szCs w:val="28"/>
        </w:rPr>
        <w:t>0</w:t>
      </w:r>
      <w:r w:rsidRPr="003B3B59">
        <w:rPr>
          <w:rFonts w:ascii="Arial" w:eastAsia="Times New Roman" w:hAnsi="Arial" w:cs="Times New Roman"/>
          <w:sz w:val="24"/>
          <w:szCs w:val="28"/>
        </w:rPr>
        <w:t xml:space="preserve"> – 1.65 would be determined significant at the 5% level.</w:t>
      </w:r>
    </w:p>
    <w:p w:rsidR="003B3B59" w:rsidRPr="003B3B59" w:rsidRDefault="003B3B59" w:rsidP="001C43B5">
      <w:pPr>
        <w:keepNext/>
        <w:spacing w:before="360" w:after="120" w:line="360" w:lineRule="auto"/>
        <w:ind w:left="993" w:hanging="993"/>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11.3 Endpoints</w:t>
      </w:r>
    </w:p>
    <w:p w:rsidR="003B3B59" w:rsidRPr="003B3B59" w:rsidRDefault="003B3B59" w:rsidP="001C43B5">
      <w:pPr>
        <w:keepNext/>
        <w:spacing w:before="360" w:after="0" w:line="360" w:lineRule="auto"/>
        <w:ind w:left="778" w:hanging="436"/>
        <w:jc w:val="both"/>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11.3.1 Primary Endpoint</w:t>
      </w:r>
    </w:p>
    <w:p w:rsidR="00240AE5" w:rsidRDefault="003B3B59" w:rsidP="001C43B5">
      <w:pPr>
        <w:numPr>
          <w:ilvl w:val="0"/>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Overall survival measured as the time from diagnosis until death by any cause.</w:t>
      </w:r>
      <w:bookmarkStart w:id="114" w:name="_Hlk40877653"/>
      <w:r w:rsidR="00240AE5" w:rsidRPr="00240AE5">
        <w:rPr>
          <w:rFonts w:ascii="Arial" w:eastAsia="Times New Roman" w:hAnsi="Arial" w:cs="Times New Roman"/>
          <w:sz w:val="24"/>
          <w:szCs w:val="28"/>
        </w:rPr>
        <w:t xml:space="preserve"> </w:t>
      </w:r>
    </w:p>
    <w:p w:rsidR="00240AE5" w:rsidRPr="003B3B59" w:rsidRDefault="00240AE5" w:rsidP="001C43B5">
      <w:pPr>
        <w:numPr>
          <w:ilvl w:val="0"/>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Description of patient management including</w:t>
      </w:r>
    </w:p>
    <w:p w:rsidR="00240AE5" w:rsidRPr="003B3B59" w:rsidRDefault="00240AE5" w:rsidP="001C43B5">
      <w:pPr>
        <w:numPr>
          <w:ilvl w:val="1"/>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Diagnosis</w:t>
      </w:r>
    </w:p>
    <w:p w:rsidR="00240AE5" w:rsidRPr="003B3B59" w:rsidRDefault="00240AE5" w:rsidP="001C43B5">
      <w:pPr>
        <w:numPr>
          <w:ilvl w:val="1"/>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Staging</w:t>
      </w:r>
    </w:p>
    <w:p w:rsidR="00240AE5" w:rsidRPr="003B3B59" w:rsidRDefault="00240AE5" w:rsidP="001C43B5">
      <w:pPr>
        <w:numPr>
          <w:ilvl w:val="1"/>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Prescribes therapy/treatment</w:t>
      </w:r>
    </w:p>
    <w:p w:rsidR="003B3B59" w:rsidRPr="00F57D5C" w:rsidRDefault="00240AE5" w:rsidP="001C43B5">
      <w:pPr>
        <w:numPr>
          <w:ilvl w:val="1"/>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Patient Outcome</w:t>
      </w:r>
      <w:bookmarkEnd w:id="114"/>
    </w:p>
    <w:p w:rsidR="003B3B59" w:rsidRPr="003B3B59" w:rsidRDefault="003B3B59" w:rsidP="001C43B5">
      <w:pPr>
        <w:keepNext/>
        <w:spacing w:before="360" w:after="0" w:line="360" w:lineRule="auto"/>
        <w:ind w:left="778" w:hanging="436"/>
        <w:jc w:val="both"/>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11.3.2 Secondary Endpoints</w:t>
      </w:r>
    </w:p>
    <w:p w:rsidR="003B3B59" w:rsidRPr="003B3B59" w:rsidRDefault="003B3B59" w:rsidP="001C43B5">
      <w:pPr>
        <w:numPr>
          <w:ilvl w:val="0"/>
          <w:numId w:val="5"/>
        </w:num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 xml:space="preserve">Incidence </w:t>
      </w:r>
      <w:r w:rsidRPr="003B3B59">
        <w:rPr>
          <w:rFonts w:ascii="Arial" w:eastAsia="Times New Roman" w:hAnsi="Arial" w:cs="Times New Roman"/>
          <w:sz w:val="24"/>
          <w:szCs w:val="24"/>
        </w:rPr>
        <w:t>of CNS involvement secondary to breast cancer, measures</w:t>
      </w:r>
      <w:r w:rsidRPr="003B3B59">
        <w:rPr>
          <w:rFonts w:ascii="Arial" w:eastAsia="Times New Roman" w:hAnsi="Arial" w:cs="Times New Roman"/>
          <w:sz w:val="24"/>
          <w:szCs w:val="28"/>
        </w:rPr>
        <w:t xml:space="preserve"> as the number of cases observed per month.</w:t>
      </w:r>
    </w:p>
    <w:p w:rsidR="003B3B59" w:rsidRPr="003B3B59" w:rsidRDefault="003B3B59" w:rsidP="001C43B5">
      <w:pPr>
        <w:keepNext/>
        <w:spacing w:before="360" w:after="120" w:line="360" w:lineRule="auto"/>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lastRenderedPageBreak/>
        <w:t xml:space="preserve">11.4 Analysis Methods </w:t>
      </w:r>
    </w:p>
    <w:p w:rsidR="003B3B59" w:rsidRPr="003B3B59" w:rsidRDefault="003B3B59" w:rsidP="001C43B5">
      <w:pPr>
        <w:keepNext/>
        <w:spacing w:before="360" w:after="0" w:line="360" w:lineRule="auto"/>
        <w:ind w:left="778" w:hanging="436"/>
        <w:jc w:val="both"/>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11.4.1 Patient Groups</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Analysis will be performed on all patients included in the audit unless there are sound and justifiable rational for their removal.</w:t>
      </w:r>
    </w:p>
    <w:p w:rsidR="003B3B59" w:rsidRPr="003B3B59" w:rsidRDefault="003B3B59" w:rsidP="001C43B5">
      <w:pPr>
        <w:keepNext/>
        <w:spacing w:before="360" w:after="0" w:line="360" w:lineRule="auto"/>
        <w:ind w:left="778" w:hanging="436"/>
        <w:jc w:val="both"/>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 xml:space="preserve"> 11.4.2 Missing Data</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Analyses are planned on a complete case database.  However, if greater than 10% data on a key outcome/prognostic covariate are observed then multiple imputation using chained equations will be employed.</w:t>
      </w:r>
    </w:p>
    <w:p w:rsidR="003B3B59" w:rsidRPr="003B3B59" w:rsidRDefault="003B3B59" w:rsidP="001C43B5">
      <w:pPr>
        <w:keepNext/>
        <w:spacing w:before="360" w:after="0" w:line="360" w:lineRule="auto"/>
        <w:ind w:left="778" w:hanging="436"/>
        <w:jc w:val="both"/>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11.4.3 Levels of significance</w:t>
      </w:r>
    </w:p>
    <w:p w:rsidR="003B3B59" w:rsidRPr="003B3B59" w:rsidRDefault="003B3B59" w:rsidP="001C43B5">
      <w:pPr>
        <w:spacing w:after="0" w:line="360" w:lineRule="auto"/>
        <w:jc w:val="both"/>
        <w:rPr>
          <w:rFonts w:ascii="Arial" w:eastAsia="Times New Roman" w:hAnsi="Arial" w:cs="Times New Roman"/>
          <w:sz w:val="24"/>
          <w:szCs w:val="28"/>
        </w:rPr>
      </w:pPr>
      <w:r w:rsidRPr="003B3B59">
        <w:rPr>
          <w:rFonts w:ascii="Arial" w:eastAsia="Times New Roman" w:hAnsi="Arial" w:cs="Times New Roman"/>
          <w:sz w:val="24"/>
          <w:szCs w:val="28"/>
        </w:rPr>
        <w:t>All analyses will be reported alongside 95% confidence intervals and the nominal p&lt;0.05 used to determine statistical significance.</w:t>
      </w:r>
    </w:p>
    <w:p w:rsidR="003B3B59" w:rsidRPr="00F57D5C" w:rsidRDefault="003B3B59" w:rsidP="001C43B5">
      <w:pPr>
        <w:keepNext/>
        <w:spacing w:before="360" w:after="0" w:line="360" w:lineRule="auto"/>
        <w:ind w:left="778" w:hanging="436"/>
        <w:jc w:val="both"/>
        <w:outlineLvl w:val="2"/>
        <w:rPr>
          <w:rFonts w:ascii="Arial" w:eastAsia="Times New Roman" w:hAnsi="Arial" w:cs="Times New Roman"/>
          <w:b/>
          <w:bCs/>
          <w:sz w:val="24"/>
          <w:szCs w:val="24"/>
        </w:rPr>
      </w:pPr>
      <w:r w:rsidRPr="003B3B59">
        <w:rPr>
          <w:rFonts w:ascii="Arial" w:eastAsia="Times New Roman" w:hAnsi="Arial" w:cs="Times New Roman"/>
          <w:b/>
          <w:bCs/>
          <w:sz w:val="24"/>
          <w:szCs w:val="24"/>
        </w:rPr>
        <w:t xml:space="preserve">11.4.4 Analysis </w:t>
      </w:r>
      <w:r w:rsidRPr="00F57D5C">
        <w:rPr>
          <w:rFonts w:ascii="Arial" w:eastAsia="Times New Roman" w:hAnsi="Arial" w:cs="Times New Roman"/>
          <w:b/>
          <w:bCs/>
          <w:sz w:val="24"/>
          <w:szCs w:val="24"/>
        </w:rPr>
        <w:t>of the Primary</w:t>
      </w:r>
      <w:r w:rsidR="00F5512F" w:rsidRPr="00F57D5C">
        <w:rPr>
          <w:rFonts w:ascii="Arial" w:eastAsia="Times New Roman" w:hAnsi="Arial" w:cs="Times New Roman"/>
          <w:b/>
          <w:bCs/>
          <w:sz w:val="24"/>
          <w:szCs w:val="24"/>
        </w:rPr>
        <w:t xml:space="preserve"> </w:t>
      </w:r>
      <w:r w:rsidRPr="00F57D5C">
        <w:rPr>
          <w:rFonts w:ascii="Arial" w:eastAsia="Times New Roman" w:hAnsi="Arial" w:cs="Times New Roman"/>
          <w:b/>
          <w:bCs/>
          <w:sz w:val="24"/>
          <w:szCs w:val="24"/>
        </w:rPr>
        <w:t>Endpoint</w:t>
      </w:r>
      <w:r w:rsidR="00F5512F" w:rsidRPr="00F57D5C">
        <w:rPr>
          <w:rFonts w:ascii="Arial" w:eastAsia="Times New Roman" w:hAnsi="Arial" w:cs="Times New Roman"/>
          <w:b/>
          <w:bCs/>
          <w:sz w:val="24"/>
          <w:szCs w:val="24"/>
        </w:rPr>
        <w:t xml:space="preserve">s </w:t>
      </w:r>
    </w:p>
    <w:p w:rsidR="003B3B59" w:rsidRDefault="003B3B59" w:rsidP="001C43B5">
      <w:pPr>
        <w:spacing w:after="0" w:line="360" w:lineRule="auto"/>
        <w:jc w:val="both"/>
        <w:rPr>
          <w:rFonts w:ascii="Arial" w:eastAsia="Times New Roman" w:hAnsi="Arial" w:cs="Times New Roman"/>
          <w:sz w:val="24"/>
          <w:szCs w:val="28"/>
        </w:rPr>
      </w:pPr>
      <w:r w:rsidRPr="00F57D5C">
        <w:rPr>
          <w:rFonts w:ascii="Arial" w:eastAsia="Times New Roman" w:hAnsi="Arial" w:cs="Times New Roman"/>
          <w:sz w:val="24"/>
          <w:szCs w:val="28"/>
        </w:rPr>
        <w:t>The primary endpoint is overall survival measures as the time from diagnosis to death by any cause.  Survival estimates will be obtained using Kaplan Meier estimates and the effect of key clinical/demographic data explored using multivariable cox proportional hazards techniques.</w:t>
      </w:r>
    </w:p>
    <w:p w:rsidR="00240AE5" w:rsidRDefault="00240AE5" w:rsidP="001C43B5">
      <w:pPr>
        <w:spacing w:after="0" w:line="360" w:lineRule="auto"/>
        <w:jc w:val="both"/>
        <w:rPr>
          <w:rFonts w:ascii="Arial" w:eastAsia="Times New Roman" w:hAnsi="Arial" w:cs="Times New Roman"/>
          <w:sz w:val="24"/>
          <w:szCs w:val="28"/>
        </w:rPr>
      </w:pPr>
    </w:p>
    <w:p w:rsidR="00240AE5" w:rsidRPr="003B3B59" w:rsidRDefault="00F17660" w:rsidP="001C43B5">
      <w:pPr>
        <w:spacing w:after="0" w:line="360" w:lineRule="auto"/>
        <w:jc w:val="both"/>
        <w:rPr>
          <w:rFonts w:ascii="Arial" w:eastAsia="Times New Roman" w:hAnsi="Arial" w:cs="Times New Roman"/>
          <w:sz w:val="24"/>
          <w:szCs w:val="28"/>
        </w:rPr>
      </w:pPr>
      <w:r>
        <w:rPr>
          <w:rFonts w:ascii="Arial" w:eastAsia="Times New Roman" w:hAnsi="Arial" w:cs="Times New Roman"/>
          <w:sz w:val="24"/>
          <w:szCs w:val="28"/>
        </w:rPr>
        <w:t>D</w:t>
      </w:r>
      <w:r w:rsidR="00F57D5C">
        <w:rPr>
          <w:rFonts w:ascii="Arial" w:eastAsia="Times New Roman" w:hAnsi="Arial" w:cs="Times New Roman"/>
          <w:sz w:val="24"/>
          <w:szCs w:val="28"/>
        </w:rPr>
        <w:t xml:space="preserve">escriptive analysis will be conducted to describe current patient management. </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b/>
          <w:color w:val="548DD4"/>
          <w:sz w:val="24"/>
          <w:szCs w:val="24"/>
        </w:rPr>
      </w:pPr>
      <w:bookmarkStart w:id="115" w:name="_Toc402785836"/>
      <w:bookmarkStart w:id="116" w:name="_Ref439248233"/>
      <w:bookmarkStart w:id="117" w:name="_Toc261522944"/>
      <w:bookmarkStart w:id="118" w:name="_Toc402785829"/>
      <w:bookmarkStart w:id="119" w:name="_Ref439247947"/>
      <w:bookmarkStart w:id="120" w:name="_Toc32578533"/>
    </w:p>
    <w:p w:rsidR="003B3B59" w:rsidRPr="00D405BC" w:rsidRDefault="003B3B59" w:rsidP="001C43B5">
      <w:pPr>
        <w:pStyle w:val="ListParagraph"/>
        <w:keepNext/>
        <w:pageBreakBefore/>
        <w:numPr>
          <w:ilvl w:val="5"/>
          <w:numId w:val="19"/>
        </w:numPr>
        <w:spacing w:after="360" w:line="360" w:lineRule="auto"/>
        <w:ind w:left="851" w:hanging="851"/>
        <w:outlineLvl w:val="0"/>
        <w:rPr>
          <w:rFonts w:cs="Arial"/>
          <w:b/>
          <w:bCs/>
          <w:sz w:val="32"/>
        </w:rPr>
      </w:pPr>
      <w:bookmarkStart w:id="121" w:name="_Toc38877244"/>
      <w:bookmarkStart w:id="122" w:name="_Toc42020753"/>
      <w:bookmarkStart w:id="123" w:name="_Toc42077790"/>
      <w:bookmarkStart w:id="124" w:name="_Toc44574205"/>
      <w:bookmarkEnd w:id="115"/>
      <w:bookmarkEnd w:id="116"/>
      <w:bookmarkEnd w:id="117"/>
      <w:bookmarkEnd w:id="118"/>
      <w:bookmarkEnd w:id="119"/>
      <w:r w:rsidRPr="00D405BC">
        <w:rPr>
          <w:rFonts w:cs="Arial"/>
          <w:b/>
          <w:bCs/>
          <w:sz w:val="32"/>
        </w:rPr>
        <w:lastRenderedPageBreak/>
        <w:t xml:space="preserve">Data Management and </w:t>
      </w:r>
      <w:r w:rsidR="00B93747" w:rsidRPr="00D405BC">
        <w:rPr>
          <w:rFonts w:cs="Arial"/>
          <w:b/>
          <w:bCs/>
          <w:sz w:val="32"/>
        </w:rPr>
        <w:t>Audit</w:t>
      </w:r>
      <w:r w:rsidRPr="00D405BC">
        <w:rPr>
          <w:rFonts w:cs="Arial"/>
          <w:b/>
          <w:bCs/>
          <w:sz w:val="32"/>
        </w:rPr>
        <w:t xml:space="preserve"> Monitoring</w:t>
      </w:r>
      <w:bookmarkEnd w:id="120"/>
      <w:bookmarkEnd w:id="121"/>
      <w:bookmarkEnd w:id="122"/>
      <w:bookmarkEnd w:id="123"/>
      <w:bookmarkEnd w:id="124"/>
    </w:p>
    <w:p w:rsidR="003B3B59" w:rsidRPr="003B3B59" w:rsidRDefault="003B3B59" w:rsidP="001C43B5">
      <w:pPr>
        <w:autoSpaceDE w:val="0"/>
        <w:autoSpaceDN w:val="0"/>
        <w:adjustRightInd w:val="0"/>
        <w:spacing w:after="0" w:line="360" w:lineRule="auto"/>
        <w:jc w:val="both"/>
        <w:rPr>
          <w:rFonts w:ascii="Arial" w:eastAsia="Times New Roman" w:hAnsi="Arial" w:cs="Times New Roman"/>
          <w:sz w:val="24"/>
          <w:szCs w:val="20"/>
          <w:lang w:eastAsia="en-GB"/>
        </w:rPr>
      </w:pPr>
      <w:r w:rsidRPr="003B3B59">
        <w:rPr>
          <w:rFonts w:ascii="Arial" w:eastAsia="Times New Roman" w:hAnsi="Arial" w:cs="Times New Roman"/>
          <w:sz w:val="24"/>
          <w:szCs w:val="20"/>
          <w:lang w:eastAsia="en-GB"/>
        </w:rPr>
        <w:t>The responsibilities for Data Management and monitoring are delegated to the LCTC. All data will be managed as per local LCTC processes and in line with all relevant regulatory, ethical and legal obligations.</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12.1 Source documents</w:t>
      </w:r>
    </w:p>
    <w:p w:rsidR="003B3B59" w:rsidRPr="003B3B59" w:rsidRDefault="003B3B59" w:rsidP="001C43B5">
      <w:pPr>
        <w:spacing w:after="0" w:line="360" w:lineRule="auto"/>
        <w:jc w:val="both"/>
        <w:rPr>
          <w:rFonts w:ascii="Arial" w:eastAsia="Times New Roman" w:hAnsi="Arial" w:cs="Arial"/>
          <w:sz w:val="24"/>
          <w:shd w:val="clear" w:color="auto" w:fill="FFFFFF"/>
        </w:rPr>
      </w:pPr>
      <w:r w:rsidRPr="003B3B59">
        <w:rPr>
          <w:rFonts w:ascii="Arial" w:eastAsia="Times New Roman" w:hAnsi="Arial" w:cs="Times New Roman"/>
          <w:sz w:val="24"/>
          <w:szCs w:val="24"/>
        </w:rPr>
        <w:t>Data from eligible patients will be sourced from patient notes as the patient will have their usual treatment, their usual assessments which will, as per standard practice, be documented in the patient notes.</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12.2 Data collection method</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Anonymous data will be entered into the REDCap database. Breast cancer trainees, oncologists, neurologists and research nurses at the participating sites will have access to the database and will be appropriately informed on the study and the eligibility criteria. </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autoSpaceDE w:val="0"/>
        <w:autoSpaceDN w:val="0"/>
        <w:adjustRightInd w:val="0"/>
        <w:spacing w:after="0" w:line="360" w:lineRule="auto"/>
        <w:jc w:val="both"/>
        <w:rPr>
          <w:rFonts w:ascii="Arial" w:eastAsia="Times New Roman" w:hAnsi="Arial" w:cs="Arial"/>
          <w:color w:val="000000"/>
          <w:sz w:val="24"/>
          <w:szCs w:val="24"/>
          <w:lang w:eastAsia="en-GB"/>
        </w:rPr>
      </w:pPr>
      <w:r w:rsidRPr="003B3B59">
        <w:rPr>
          <w:rFonts w:ascii="Arial" w:eastAsia="Times New Roman" w:hAnsi="Arial" w:cs="Arial"/>
          <w:color w:val="000000"/>
          <w:sz w:val="24"/>
          <w:szCs w:val="24"/>
          <w:lang w:eastAsia="en-GB"/>
        </w:rPr>
        <w:t>Data are to be entered into REDCap by members of the research team at site. Training will be provided prior to any data entry.</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12.3 Monitoring</w:t>
      </w:r>
    </w:p>
    <w:p w:rsidR="003B3B59" w:rsidRPr="003B3B59" w:rsidRDefault="003B3B59" w:rsidP="001C43B5">
      <w:pPr>
        <w:autoSpaceDE w:val="0"/>
        <w:autoSpaceDN w:val="0"/>
        <w:adjustRightInd w:val="0"/>
        <w:spacing w:after="0" w:line="360" w:lineRule="auto"/>
        <w:jc w:val="both"/>
        <w:rPr>
          <w:rFonts w:ascii="Arial" w:eastAsia="Times New Roman" w:hAnsi="Arial" w:cs="Arial"/>
          <w:sz w:val="24"/>
          <w:lang w:eastAsia="en-GB"/>
        </w:rPr>
      </w:pPr>
      <w:r w:rsidRPr="003B3B59">
        <w:rPr>
          <w:rFonts w:ascii="Arial" w:eastAsia="Times New Roman" w:hAnsi="Arial" w:cs="Arial"/>
          <w:sz w:val="24"/>
          <w:lang w:eastAsia="en-GB"/>
        </w:rPr>
        <w:t xml:space="preserve">Access to REDCap will be tested at each participating site during the site greenlight process. Centrally, the TMG will remotely check data collection to help maintain data quality however this will not hinder clinical practice and staff will only be emailed if core data for registered patients is missing. Site monitoring will only be triggered if the Chief Investigator and TMG deem it necessary. </w:t>
      </w:r>
    </w:p>
    <w:p w:rsidR="003B3B59" w:rsidRPr="003B3B59" w:rsidRDefault="003B3B59" w:rsidP="001C43B5">
      <w:pPr>
        <w:keepNext/>
        <w:numPr>
          <w:ilvl w:val="1"/>
          <w:numId w:val="14"/>
        </w:numPr>
        <w:autoSpaceDE w:val="0"/>
        <w:autoSpaceDN w:val="0"/>
        <w:adjustRightInd w:val="0"/>
        <w:spacing w:before="360" w:after="120" w:line="360" w:lineRule="auto"/>
        <w:jc w:val="both"/>
        <w:outlineLvl w:val="1"/>
        <w:rPr>
          <w:rFonts w:ascii="Arial" w:eastAsia="Times New Roman" w:hAnsi="Arial" w:cs="Arial"/>
          <w:b/>
          <w:bCs/>
          <w:color w:val="000000"/>
          <w:sz w:val="28"/>
          <w:szCs w:val="21"/>
        </w:rPr>
      </w:pPr>
      <w:bookmarkStart w:id="125" w:name="_Toc507576240"/>
      <w:bookmarkStart w:id="126" w:name="_Toc32578539"/>
      <w:r w:rsidRPr="003B3B59">
        <w:rPr>
          <w:rFonts w:ascii="Arial" w:eastAsia="Times New Roman" w:hAnsi="Arial" w:cs="Times New Roman"/>
          <w:b/>
          <w:bCs/>
          <w:color w:val="000000"/>
          <w:sz w:val="28"/>
          <w:szCs w:val="21"/>
        </w:rPr>
        <w:t>Risk Assessment</w:t>
      </w:r>
      <w:bookmarkEnd w:id="125"/>
      <w:bookmarkEnd w:id="126"/>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rPr>
        <w:t xml:space="preserve">A </w:t>
      </w:r>
      <w:r w:rsidRPr="003B3B59">
        <w:rPr>
          <w:rFonts w:ascii="Arial" w:eastAsia="Times New Roman" w:hAnsi="Arial" w:cs="Arial"/>
          <w:sz w:val="24"/>
          <w:szCs w:val="20"/>
        </w:rPr>
        <w:t xml:space="preserve">detailed Risk Assessment will be developed and agreed by the </w:t>
      </w:r>
      <w:r w:rsidR="002842EF">
        <w:rPr>
          <w:rFonts w:ascii="Arial" w:eastAsia="Times New Roman" w:hAnsi="Arial" w:cs="Arial"/>
          <w:sz w:val="24"/>
          <w:szCs w:val="20"/>
        </w:rPr>
        <w:t>study</w:t>
      </w:r>
      <w:r w:rsidRPr="003B3B59">
        <w:rPr>
          <w:rFonts w:ascii="Arial" w:eastAsia="Times New Roman" w:hAnsi="Arial" w:cs="Arial"/>
          <w:sz w:val="24"/>
          <w:szCs w:val="20"/>
        </w:rPr>
        <w:t xml:space="preserve"> Coordinator, Chief Investigator, Sponsor, Statistician and LCTC Operational Director.</w:t>
      </w:r>
    </w:p>
    <w:p w:rsidR="003B3B59" w:rsidRPr="003B3B59" w:rsidRDefault="003B3B59" w:rsidP="001C43B5">
      <w:pPr>
        <w:spacing w:after="0" w:line="360" w:lineRule="auto"/>
        <w:jc w:val="both"/>
        <w:rPr>
          <w:rFonts w:ascii="Arial" w:eastAsia="Times New Roman" w:hAnsi="Arial" w:cs="Arial"/>
          <w:sz w:val="24"/>
          <w:szCs w:val="20"/>
        </w:rPr>
      </w:pPr>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In conducting this risk assessment, the contributors will consider potential patient, organisational and study hazards, the likelihood of their occurrence and resulting impact should they occur.</w:t>
      </w:r>
    </w:p>
    <w:p w:rsidR="003B3B59" w:rsidRPr="003B3B59" w:rsidRDefault="003B3B59" w:rsidP="001C43B5">
      <w:pPr>
        <w:spacing w:after="0" w:line="360" w:lineRule="auto"/>
        <w:jc w:val="both"/>
        <w:rPr>
          <w:rFonts w:ascii="Arial" w:eastAsia="Times New Roman" w:hAnsi="Arial" w:cs="Arial"/>
          <w:sz w:val="24"/>
          <w:szCs w:val="20"/>
        </w:rPr>
      </w:pPr>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The outcome of the risk assessment is categorised into three groups:</w:t>
      </w:r>
    </w:p>
    <w:p w:rsidR="003B3B59" w:rsidRPr="003B3B59" w:rsidRDefault="003B3B59" w:rsidP="001C43B5">
      <w:pPr>
        <w:numPr>
          <w:ilvl w:val="0"/>
          <w:numId w:val="13"/>
        </w:num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lastRenderedPageBreak/>
        <w:t>CTIMP Type A = Comparable to the risk of standard medical care.</w:t>
      </w:r>
    </w:p>
    <w:p w:rsidR="003B3B59" w:rsidRPr="003B3B59" w:rsidRDefault="003B3B59" w:rsidP="001C43B5">
      <w:pPr>
        <w:numPr>
          <w:ilvl w:val="0"/>
          <w:numId w:val="13"/>
        </w:num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CTIMP Type B = Somewhat higher than the risk of standard medical care.</w:t>
      </w:r>
    </w:p>
    <w:p w:rsidR="003B3B59" w:rsidRPr="003B3B59" w:rsidRDefault="003B3B59" w:rsidP="001C43B5">
      <w:pPr>
        <w:numPr>
          <w:ilvl w:val="0"/>
          <w:numId w:val="13"/>
        </w:num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CTIMP Type C = Markedly higher than the risk of standard medical care.</w:t>
      </w:r>
    </w:p>
    <w:p w:rsidR="003B3B59" w:rsidRPr="003B3B59" w:rsidRDefault="003B3B59" w:rsidP="001C43B5">
      <w:pPr>
        <w:spacing w:after="0" w:line="360" w:lineRule="auto"/>
        <w:jc w:val="both"/>
        <w:rPr>
          <w:rFonts w:ascii="Arial" w:eastAsia="Times New Roman" w:hAnsi="Arial" w:cs="Arial"/>
          <w:sz w:val="24"/>
          <w:szCs w:val="20"/>
        </w:rPr>
      </w:pPr>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 xml:space="preserve">The risk assessment resulted in this </w:t>
      </w:r>
      <w:r w:rsidR="00B93747">
        <w:rPr>
          <w:rFonts w:ascii="Arial" w:eastAsia="Times New Roman" w:hAnsi="Arial" w:cs="Arial"/>
          <w:sz w:val="24"/>
          <w:szCs w:val="20"/>
        </w:rPr>
        <w:t>audit</w:t>
      </w:r>
      <w:r w:rsidRPr="003B3B59">
        <w:rPr>
          <w:rFonts w:ascii="Arial" w:eastAsia="Times New Roman" w:hAnsi="Arial" w:cs="Arial"/>
          <w:sz w:val="24"/>
          <w:szCs w:val="20"/>
        </w:rPr>
        <w:t xml:space="preserve"> being categorised as a CTIMP Type </w:t>
      </w:r>
      <w:r w:rsidRPr="003B3B59">
        <w:rPr>
          <w:rFonts w:ascii="Arial" w:eastAsia="Times New Roman" w:hAnsi="Arial" w:cs="Arial"/>
          <w:sz w:val="24"/>
          <w:szCs w:val="24"/>
        </w:rPr>
        <w:t>A</w:t>
      </w:r>
      <w:r w:rsidRPr="003B3B59">
        <w:rPr>
          <w:rFonts w:ascii="Arial" w:eastAsia="Times New Roman" w:hAnsi="Arial" w:cs="Arial"/>
          <w:sz w:val="24"/>
          <w:szCs w:val="20"/>
        </w:rPr>
        <w:t>.</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12.5 Confidentiality</w:t>
      </w:r>
    </w:p>
    <w:p w:rsidR="003B3B59" w:rsidRPr="003B3B59" w:rsidRDefault="003B3B59" w:rsidP="001C43B5">
      <w:pPr>
        <w:autoSpaceDE w:val="0"/>
        <w:autoSpaceDN w:val="0"/>
        <w:adjustRightInd w:val="0"/>
        <w:spacing w:after="0" w:line="360" w:lineRule="auto"/>
        <w:jc w:val="both"/>
        <w:rPr>
          <w:rFonts w:ascii="Arial" w:eastAsia="Times New Roman" w:hAnsi="Arial" w:cs="Arial"/>
          <w:sz w:val="24"/>
          <w:lang w:eastAsia="en-GB"/>
        </w:rPr>
      </w:pPr>
      <w:r w:rsidRPr="003B3B59">
        <w:rPr>
          <w:rFonts w:ascii="Arial" w:eastAsia="Times New Roman" w:hAnsi="Arial" w:cs="Arial"/>
          <w:sz w:val="24"/>
          <w:lang w:eastAsia="en-GB"/>
        </w:rPr>
        <w:t>This audit will not be collecting personal or identifiable data (e.g. participant names, date of birth etc). NHS numbers will be entered by clinical staff involved in the care of the patient to check for prior entries or duplicate records. The REDCap database will be designed such that NHS ID will be viewable by clinical staff (who already have access to this information as part of their usual clinical role) and will not be viewable by any members of the TMG or TSC. At all times, data will be handled confidentially and securely.</w:t>
      </w:r>
    </w:p>
    <w:p w:rsidR="003B3B59" w:rsidRPr="003B3B59" w:rsidRDefault="003B3B59" w:rsidP="001C43B5">
      <w:pPr>
        <w:autoSpaceDE w:val="0"/>
        <w:autoSpaceDN w:val="0"/>
        <w:adjustRightInd w:val="0"/>
        <w:spacing w:after="0" w:line="360" w:lineRule="auto"/>
        <w:jc w:val="both"/>
        <w:rPr>
          <w:rFonts w:ascii="Arial" w:eastAsia="Times New Roman" w:hAnsi="Arial" w:cs="Arial"/>
          <w:sz w:val="24"/>
          <w:lang w:eastAsia="en-GB"/>
        </w:rPr>
      </w:pPr>
    </w:p>
    <w:p w:rsidR="003B3B59" w:rsidRPr="003B3B59" w:rsidRDefault="003B3B59" w:rsidP="001C43B5">
      <w:pPr>
        <w:spacing w:after="0" w:line="360" w:lineRule="auto"/>
        <w:jc w:val="both"/>
        <w:rPr>
          <w:rFonts w:ascii="Arial" w:eastAsia="Times New Roman" w:hAnsi="Arial" w:cs="Arial"/>
          <w:sz w:val="24"/>
          <w:lang w:eastAsia="en-GB"/>
        </w:rPr>
      </w:pPr>
      <w:r w:rsidRPr="003B3B59">
        <w:rPr>
          <w:rFonts w:ascii="Arial" w:eastAsia="Times New Roman" w:hAnsi="Arial" w:cs="Arial"/>
          <w:sz w:val="24"/>
          <w:lang w:eastAsia="en-GB"/>
        </w:rPr>
        <w:t xml:space="preserve">Site-specific study-related information will be stored securely and confidentially at sites and all local relevant data protection policies will be adhered to. </w:t>
      </w:r>
    </w:p>
    <w:p w:rsidR="003B3B59" w:rsidRPr="003B3B59" w:rsidRDefault="003B3B59" w:rsidP="001C43B5">
      <w:pPr>
        <w:spacing w:after="0" w:line="360" w:lineRule="auto"/>
        <w:jc w:val="both"/>
        <w:rPr>
          <w:rFonts w:ascii="Arial" w:eastAsia="Times New Roman" w:hAnsi="Arial" w:cs="Arial"/>
          <w:sz w:val="24"/>
          <w:lang w:eastAsia="en-GB"/>
        </w:rPr>
      </w:pPr>
    </w:p>
    <w:p w:rsidR="003B3B59" w:rsidRPr="003B3B59" w:rsidRDefault="003B3B59" w:rsidP="001C43B5">
      <w:pPr>
        <w:autoSpaceDE w:val="0"/>
        <w:autoSpaceDN w:val="0"/>
        <w:adjustRightInd w:val="0"/>
        <w:spacing w:after="0" w:line="360" w:lineRule="auto"/>
        <w:jc w:val="both"/>
        <w:rPr>
          <w:rFonts w:ascii="Arial" w:eastAsia="Times New Roman" w:hAnsi="Arial" w:cs="Arial"/>
          <w:sz w:val="24"/>
          <w:lang w:eastAsia="en-GB"/>
        </w:rPr>
      </w:pPr>
      <w:r w:rsidRPr="003B3B59">
        <w:rPr>
          <w:rFonts w:ascii="Arial" w:eastAsia="Times New Roman" w:hAnsi="Arial" w:cs="Arial"/>
          <w:sz w:val="24"/>
          <w:lang w:eastAsia="en-GB"/>
        </w:rPr>
        <w:t xml:space="preserve">The LCTC as part of The University of Liverpool will preserve the confidentiality of participants taking part in the study. The University of Liverpool, LCTC is registered as a Data Controller with the Information Commissioners Office. </w:t>
      </w:r>
    </w:p>
    <w:p w:rsidR="003B3B59" w:rsidRPr="003B3B59" w:rsidRDefault="003B3B59" w:rsidP="001C43B5">
      <w:pPr>
        <w:autoSpaceDE w:val="0"/>
        <w:autoSpaceDN w:val="0"/>
        <w:adjustRightInd w:val="0"/>
        <w:spacing w:after="0" w:line="360" w:lineRule="auto"/>
        <w:jc w:val="both"/>
        <w:rPr>
          <w:rFonts w:ascii="Arial" w:eastAsia="Times New Roman" w:hAnsi="Arial" w:cs="Arial"/>
          <w:sz w:val="24"/>
          <w:lang w:eastAsia="en-GB"/>
        </w:rPr>
      </w:pPr>
    </w:p>
    <w:p w:rsidR="003B3B59" w:rsidRPr="003B3B59" w:rsidRDefault="003B3B59" w:rsidP="001C43B5">
      <w:pPr>
        <w:autoSpaceDE w:val="0"/>
        <w:autoSpaceDN w:val="0"/>
        <w:adjustRightInd w:val="0"/>
        <w:spacing w:after="0" w:line="360" w:lineRule="auto"/>
        <w:jc w:val="both"/>
        <w:rPr>
          <w:rFonts w:ascii="Arial" w:eastAsia="Times New Roman" w:hAnsi="Arial" w:cs="Arial"/>
          <w:sz w:val="24"/>
          <w:lang w:eastAsia="en-GB"/>
        </w:rPr>
      </w:pPr>
      <w:r w:rsidRPr="003B3B59">
        <w:rPr>
          <w:rFonts w:ascii="Arial" w:eastAsia="Times New Roman" w:hAnsi="Arial" w:cs="Times New Roman"/>
          <w:sz w:val="24"/>
          <w:szCs w:val="24"/>
        </w:rPr>
        <w:t>Breaches of data protection principles or regulations identified by LCTC will be notified promptly to the Sponsor and The University of Liverpool’s Data Protection Officer and appropriate processes followed.</w:t>
      </w:r>
    </w:p>
    <w:p w:rsidR="003B3B59" w:rsidRPr="003B3B59" w:rsidRDefault="003B3B59" w:rsidP="001C43B5">
      <w:pPr>
        <w:keepNext/>
        <w:spacing w:before="360" w:after="120" w:line="360" w:lineRule="auto"/>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 xml:space="preserve"> 12.6 Quality Assurance and Control</w:t>
      </w:r>
    </w:p>
    <w:p w:rsidR="003B3B59" w:rsidRPr="003B3B59" w:rsidRDefault="003B3B59" w:rsidP="001C43B5">
      <w:pPr>
        <w:spacing w:after="120" w:line="360" w:lineRule="auto"/>
        <w:contextualSpacing/>
        <w:rPr>
          <w:rFonts w:ascii="Arial" w:eastAsia="Times New Roman" w:hAnsi="Arial" w:cs="Arial"/>
          <w:sz w:val="24"/>
          <w:szCs w:val="24"/>
        </w:rPr>
      </w:pPr>
      <w:r w:rsidRPr="003B3B59">
        <w:rPr>
          <w:rFonts w:ascii="Arial" w:eastAsia="Times New Roman" w:hAnsi="Arial" w:cs="Arial"/>
          <w:color w:val="000000"/>
          <w:sz w:val="24"/>
          <w:szCs w:val="24"/>
        </w:rPr>
        <w:t>To assure protocol compliance, ethical standards, regulatory compliance and data quality,</w:t>
      </w:r>
      <w:r w:rsidRPr="003B3B59">
        <w:rPr>
          <w:rFonts w:ascii="Arial" w:eastAsia="Times New Roman" w:hAnsi="Arial" w:cs="Arial"/>
          <w:color w:val="000000"/>
          <w:sz w:val="24"/>
          <w:lang w:eastAsia="en-GB"/>
        </w:rPr>
        <w:t xml:space="preserve"> </w:t>
      </w:r>
      <w:r w:rsidRPr="003B3B59">
        <w:rPr>
          <w:rFonts w:ascii="Arial" w:eastAsia="Times New Roman" w:hAnsi="Arial" w:cs="Arial"/>
          <w:sz w:val="24"/>
          <w:lang w:eastAsia="en-GB"/>
        </w:rPr>
        <w:t xml:space="preserve">as a minimum, the following will occur as part of quality assurance: </w:t>
      </w:r>
    </w:p>
    <w:p w:rsidR="003B3B59" w:rsidRPr="003B3B59" w:rsidRDefault="003B3B59" w:rsidP="001C43B5">
      <w:pPr>
        <w:numPr>
          <w:ilvl w:val="1"/>
          <w:numId w:val="6"/>
        </w:numPr>
        <w:spacing w:after="0" w:line="360" w:lineRule="auto"/>
        <w:contextualSpacing/>
        <w:jc w:val="both"/>
        <w:rPr>
          <w:rFonts w:ascii="Arial" w:eastAsia="Times New Roman" w:hAnsi="Arial" w:cs="Times New Roman"/>
          <w:sz w:val="24"/>
          <w:szCs w:val="24"/>
        </w:rPr>
      </w:pPr>
      <w:r w:rsidRPr="003B3B59">
        <w:rPr>
          <w:rFonts w:ascii="Arial" w:eastAsia="Times New Roman" w:hAnsi="Arial" w:cs="Times New Roman"/>
          <w:sz w:val="24"/>
          <w:szCs w:val="24"/>
        </w:rPr>
        <w:t>The TMG will determine the minimum key staff required to be recorded on the delegation log in order for the centre to be eligible to be initiated.</w:t>
      </w:r>
    </w:p>
    <w:p w:rsidR="003B3B59" w:rsidRPr="003B3B59" w:rsidRDefault="003B3B59" w:rsidP="001C43B5">
      <w:pPr>
        <w:numPr>
          <w:ilvl w:val="1"/>
          <w:numId w:val="6"/>
        </w:numPr>
        <w:spacing w:after="0" w:line="360" w:lineRule="auto"/>
        <w:contextualSpacing/>
        <w:jc w:val="both"/>
        <w:rPr>
          <w:rFonts w:ascii="Arial" w:eastAsia="Times New Roman" w:hAnsi="Arial" w:cs="Arial"/>
          <w:sz w:val="24"/>
          <w:lang w:eastAsia="en-GB"/>
        </w:rPr>
      </w:pPr>
      <w:r w:rsidRPr="003B3B59">
        <w:rPr>
          <w:rFonts w:ascii="Arial" w:eastAsia="Times New Roman" w:hAnsi="Arial" w:cs="Arial"/>
          <w:sz w:val="24"/>
          <w:lang w:eastAsia="en-GB"/>
        </w:rPr>
        <w:t xml:space="preserve">The TC at the LCTC will verify appropriate approvals are in place prior to initiation of a centre and the relevant personnel have attended the specific training. </w:t>
      </w:r>
    </w:p>
    <w:p w:rsidR="003B3B59" w:rsidRPr="003B3B59" w:rsidRDefault="003B3B59" w:rsidP="001C43B5">
      <w:pPr>
        <w:numPr>
          <w:ilvl w:val="1"/>
          <w:numId w:val="6"/>
        </w:numPr>
        <w:spacing w:after="0" w:line="360" w:lineRule="auto"/>
        <w:contextualSpacing/>
        <w:jc w:val="both"/>
        <w:rPr>
          <w:rFonts w:ascii="Arial" w:eastAsia="Times New Roman" w:hAnsi="Arial" w:cs="Arial"/>
          <w:sz w:val="24"/>
          <w:lang w:eastAsia="en-GB"/>
        </w:rPr>
      </w:pPr>
      <w:r w:rsidRPr="003B3B59">
        <w:rPr>
          <w:rFonts w:ascii="Arial" w:eastAsia="Times New Roman" w:hAnsi="Arial" w:cs="Arial"/>
          <w:sz w:val="24"/>
          <w:lang w:eastAsia="en-GB"/>
        </w:rPr>
        <w:t xml:space="preserve">A greenlight checklist will verify all approvals are in place prior to </w:t>
      </w:r>
      <w:r w:rsidR="002842EF">
        <w:rPr>
          <w:rFonts w:ascii="Arial" w:eastAsia="Times New Roman" w:hAnsi="Arial" w:cs="Arial"/>
          <w:sz w:val="24"/>
          <w:lang w:eastAsia="en-GB"/>
        </w:rPr>
        <w:t>audit study</w:t>
      </w:r>
      <w:r w:rsidRPr="003B3B59">
        <w:rPr>
          <w:rFonts w:ascii="Arial" w:eastAsia="Times New Roman" w:hAnsi="Arial" w:cs="Arial"/>
          <w:sz w:val="24"/>
          <w:lang w:eastAsia="en-GB"/>
        </w:rPr>
        <w:t xml:space="preserve"> initiation at LCTC and the individual centre. </w:t>
      </w:r>
    </w:p>
    <w:p w:rsidR="003B3B59" w:rsidRPr="003B3B59" w:rsidRDefault="003B3B59" w:rsidP="001C43B5">
      <w:pPr>
        <w:numPr>
          <w:ilvl w:val="1"/>
          <w:numId w:val="6"/>
        </w:numPr>
        <w:autoSpaceDE w:val="0"/>
        <w:autoSpaceDN w:val="0"/>
        <w:adjustRightInd w:val="0"/>
        <w:spacing w:after="0" w:line="360" w:lineRule="auto"/>
        <w:contextualSpacing/>
        <w:jc w:val="both"/>
        <w:rPr>
          <w:rFonts w:ascii="Arial" w:eastAsia="Times New Roman" w:hAnsi="Arial" w:cs="Arial"/>
          <w:sz w:val="24"/>
          <w:szCs w:val="20"/>
          <w:lang w:eastAsia="en-GB"/>
        </w:rPr>
      </w:pPr>
      <w:r w:rsidRPr="003B3B59">
        <w:rPr>
          <w:rFonts w:ascii="Arial" w:eastAsia="Times New Roman" w:hAnsi="Arial" w:cs="Arial"/>
          <w:sz w:val="24"/>
          <w:lang w:eastAsia="en-GB"/>
        </w:rPr>
        <w:lastRenderedPageBreak/>
        <w:t>Data quality checks and monitoring procedures will be undertaken in line with the Data Management Plan. T</w:t>
      </w:r>
      <w:r w:rsidRPr="003B3B59">
        <w:rPr>
          <w:rFonts w:ascii="Arial" w:eastAsia="Times New Roman" w:hAnsi="Arial" w:cs="Arial"/>
          <w:sz w:val="24"/>
          <w:shd w:val="clear" w:color="auto" w:fill="FFFFFF"/>
          <w:lang w:eastAsia="en-GB"/>
        </w:rPr>
        <w:t xml:space="preserve">he </w:t>
      </w:r>
      <w:r w:rsidR="002842EF">
        <w:rPr>
          <w:rFonts w:ascii="Arial" w:eastAsia="Times New Roman" w:hAnsi="Arial" w:cs="Arial"/>
          <w:sz w:val="24"/>
          <w:shd w:val="clear" w:color="auto" w:fill="FFFFFF"/>
          <w:lang w:eastAsia="en-GB"/>
        </w:rPr>
        <w:t>study</w:t>
      </w:r>
      <w:r w:rsidRPr="003B3B59">
        <w:rPr>
          <w:rFonts w:ascii="Arial" w:eastAsia="Times New Roman" w:hAnsi="Arial" w:cs="Arial"/>
          <w:sz w:val="24"/>
          <w:shd w:val="clear" w:color="auto" w:fill="FFFFFF"/>
          <w:lang w:eastAsia="en-GB"/>
        </w:rPr>
        <w:t xml:space="preserve"> coordinator and senior </w:t>
      </w:r>
      <w:r w:rsidR="002842EF">
        <w:rPr>
          <w:rFonts w:ascii="Arial" w:eastAsia="Times New Roman" w:hAnsi="Arial" w:cs="Arial"/>
          <w:sz w:val="24"/>
          <w:shd w:val="clear" w:color="auto" w:fill="FFFFFF"/>
          <w:lang w:eastAsia="en-GB"/>
        </w:rPr>
        <w:t>study</w:t>
      </w:r>
      <w:r w:rsidRPr="003B3B59">
        <w:rPr>
          <w:rFonts w:ascii="Arial" w:eastAsia="Times New Roman" w:hAnsi="Arial" w:cs="Arial"/>
          <w:sz w:val="24"/>
          <w:shd w:val="clear" w:color="auto" w:fill="FFFFFF"/>
          <w:lang w:eastAsia="en-GB"/>
        </w:rPr>
        <w:t xml:space="preserve"> members will be involved in Quality Assurance and will have access to REDCap data. </w:t>
      </w:r>
      <w:r w:rsidRPr="003B3B59">
        <w:rPr>
          <w:rFonts w:ascii="Arial" w:eastAsia="Times New Roman" w:hAnsi="Arial" w:cs="Arial"/>
          <w:sz w:val="24"/>
          <w:lang w:eastAsia="en-GB"/>
        </w:rPr>
        <w:t>The purposes of this will include, but are not limited to:</w:t>
      </w:r>
    </w:p>
    <w:p w:rsidR="003B3B59" w:rsidRPr="003B3B59" w:rsidRDefault="003B3B59" w:rsidP="001C43B5">
      <w:pPr>
        <w:numPr>
          <w:ilvl w:val="3"/>
          <w:numId w:val="6"/>
        </w:numPr>
        <w:spacing w:after="120" w:line="360" w:lineRule="auto"/>
        <w:contextualSpacing/>
        <w:jc w:val="both"/>
        <w:rPr>
          <w:rFonts w:ascii="Arial" w:eastAsia="Times New Roman" w:hAnsi="Arial" w:cs="Arial"/>
          <w:sz w:val="24"/>
          <w:szCs w:val="24"/>
        </w:rPr>
      </w:pPr>
      <w:r w:rsidRPr="003B3B59">
        <w:rPr>
          <w:rFonts w:ascii="Arial" w:eastAsia="Times New Roman" w:hAnsi="Arial" w:cs="Arial"/>
          <w:sz w:val="24"/>
          <w:szCs w:val="24"/>
        </w:rPr>
        <w:t>assessing compliance with the study protocol;</w:t>
      </w:r>
    </w:p>
    <w:p w:rsidR="003B3B59" w:rsidRPr="003B3B59" w:rsidRDefault="003B3B59" w:rsidP="001C43B5">
      <w:pPr>
        <w:numPr>
          <w:ilvl w:val="3"/>
          <w:numId w:val="6"/>
        </w:numPr>
        <w:spacing w:after="120" w:line="360" w:lineRule="auto"/>
        <w:contextualSpacing/>
        <w:jc w:val="both"/>
        <w:rPr>
          <w:rFonts w:ascii="Arial" w:eastAsia="Times New Roman" w:hAnsi="Arial" w:cs="Arial"/>
          <w:sz w:val="24"/>
          <w:szCs w:val="24"/>
        </w:rPr>
      </w:pPr>
      <w:r w:rsidRPr="003B3B59">
        <w:rPr>
          <w:rFonts w:ascii="Arial" w:eastAsia="Times New Roman" w:hAnsi="Arial" w:cs="Arial"/>
          <w:sz w:val="24"/>
          <w:szCs w:val="24"/>
        </w:rPr>
        <w:t>working with QA and QC standards are being met;</w:t>
      </w:r>
    </w:p>
    <w:p w:rsidR="003B3B59" w:rsidRPr="003B3B59" w:rsidRDefault="003B3B59" w:rsidP="001C43B5">
      <w:pPr>
        <w:numPr>
          <w:ilvl w:val="3"/>
          <w:numId w:val="6"/>
        </w:numPr>
        <w:spacing w:after="120" w:line="360" w:lineRule="auto"/>
        <w:contextualSpacing/>
        <w:jc w:val="both"/>
        <w:rPr>
          <w:rFonts w:ascii="Arial" w:eastAsia="Times New Roman" w:hAnsi="Arial" w:cs="Arial"/>
          <w:sz w:val="24"/>
          <w:szCs w:val="24"/>
        </w:rPr>
      </w:pPr>
      <w:r w:rsidRPr="003B3B59">
        <w:rPr>
          <w:rFonts w:ascii="Arial" w:eastAsia="Times New Roman" w:hAnsi="Arial" w:cs="Arial"/>
          <w:sz w:val="24"/>
          <w:szCs w:val="24"/>
        </w:rPr>
        <w:t xml:space="preserve">discussing any emerging problems that may have been identified prior to the visit; </w:t>
      </w:r>
    </w:p>
    <w:p w:rsidR="003B3B59" w:rsidRPr="003B3B59" w:rsidRDefault="003B3B59" w:rsidP="001C43B5">
      <w:pPr>
        <w:numPr>
          <w:ilvl w:val="3"/>
          <w:numId w:val="6"/>
        </w:numPr>
        <w:spacing w:after="120" w:line="360" w:lineRule="auto"/>
        <w:contextualSpacing/>
        <w:jc w:val="both"/>
        <w:rPr>
          <w:rFonts w:ascii="Arial" w:eastAsia="Times New Roman" w:hAnsi="Arial" w:cs="Arial"/>
          <w:sz w:val="24"/>
          <w:szCs w:val="24"/>
        </w:rPr>
      </w:pPr>
      <w:r w:rsidRPr="003B3B59">
        <w:rPr>
          <w:rFonts w:ascii="Arial" w:eastAsia="Times New Roman" w:hAnsi="Arial" w:cs="Arial"/>
          <w:sz w:val="24"/>
          <w:szCs w:val="24"/>
        </w:rPr>
        <w:t xml:space="preserve">checking CRF and query completion practices. </w:t>
      </w: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To ensure recruitment rates, data entry etc. are tracked, and that the importance and need for data collection is consistently recognised an internal risk assessment and monitoring plan will be done as part of the green light process and thereafter reviewed annually.</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This will be overseen by the TMG and TSC.</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12.7 Records Retention</w:t>
      </w:r>
    </w:p>
    <w:p w:rsidR="003B3B59" w:rsidRPr="003B3B59" w:rsidRDefault="003B3B59" w:rsidP="001C43B5">
      <w:pPr>
        <w:spacing w:after="0" w:line="360" w:lineRule="auto"/>
        <w:jc w:val="both"/>
        <w:rPr>
          <w:rFonts w:ascii="Arial" w:eastAsia="Times New Roman" w:hAnsi="Arial" w:cs="Times New Roman"/>
          <w:b/>
          <w:bCs/>
          <w:sz w:val="24"/>
          <w:szCs w:val="21"/>
        </w:rPr>
      </w:pPr>
      <w:r w:rsidRPr="003B3B59">
        <w:rPr>
          <w:rFonts w:ascii="Arial" w:eastAsia="Times New Roman" w:hAnsi="Arial" w:cs="Times New Roman"/>
          <w:sz w:val="24"/>
          <w:szCs w:val="24"/>
        </w:rPr>
        <w:t>The retention period for the PRIMROSE audit data and information is 25 years from the official End of audit date.</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 xml:space="preserve">The aim of the study is to build an Audit to aid in further research, to inform current practice and to evaluate outcomes. Hence, in the long terms, the records in this </w:t>
      </w:r>
      <w:bookmarkStart w:id="127" w:name="_GoBack"/>
      <w:bookmarkEnd w:id="127"/>
      <w:r w:rsidRPr="003B3B59">
        <w:rPr>
          <w:rFonts w:ascii="Arial" w:eastAsia="Times New Roman" w:hAnsi="Arial" w:cs="Times New Roman"/>
          <w:sz w:val="24"/>
          <w:szCs w:val="24"/>
        </w:rPr>
        <w:t>Audit will function as a research database which can be accessed for future research</w:t>
      </w:r>
      <w:r w:rsidR="00F57D5C">
        <w:rPr>
          <w:rFonts w:ascii="Arial" w:eastAsia="Times New Roman" w:hAnsi="Arial" w:cs="Times New Roman"/>
          <w:sz w:val="24"/>
          <w:szCs w:val="24"/>
        </w:rPr>
        <w:t>.</w:t>
      </w:r>
      <w:r w:rsidRPr="003B3B59">
        <w:rPr>
          <w:rFonts w:ascii="Arial" w:eastAsia="Times New Roman" w:hAnsi="Arial" w:cs="Times New Roman"/>
          <w:sz w:val="24"/>
          <w:szCs w:val="24"/>
        </w:rPr>
        <w:t xml:space="preserve"> While the current audit plans to run for two years, the data will be retained on REDCap securely and continually added to should research benefit from such data. There is currently no cap on the number of patients that can be included in the Audit.</w:t>
      </w:r>
    </w:p>
    <w:p w:rsidR="003B3B59" w:rsidRPr="003B3B59" w:rsidRDefault="003B3B59" w:rsidP="001C43B5">
      <w:pPr>
        <w:spacing w:after="0" w:line="360" w:lineRule="auto"/>
        <w:jc w:val="both"/>
        <w:rPr>
          <w:rFonts w:ascii="Arial" w:eastAsia="Times New Roman" w:hAnsi="Arial" w:cs="Arial"/>
          <w:sz w:val="24"/>
        </w:rPr>
      </w:pPr>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 xml:space="preserve">The PI at each investigational site must make arrangements to store the essential documents (as defined by ICH GCP guidelines) including the Investigator Site File and the applicable participant medical records, for the full length of the </w:t>
      </w:r>
      <w:r w:rsidR="002842EF">
        <w:rPr>
          <w:rFonts w:ascii="Arial" w:eastAsia="Times New Roman" w:hAnsi="Arial" w:cs="Arial"/>
          <w:sz w:val="24"/>
          <w:szCs w:val="20"/>
        </w:rPr>
        <w:t>study’s</w:t>
      </w:r>
      <w:r w:rsidRPr="003B3B59">
        <w:rPr>
          <w:rFonts w:ascii="Arial" w:eastAsia="Times New Roman" w:hAnsi="Arial" w:cs="Arial"/>
          <w:sz w:val="24"/>
          <w:szCs w:val="20"/>
        </w:rPr>
        <w:t xml:space="preserve"> retention period and will arrange for destruction at the end of this period as instructed by the LCTC.</w:t>
      </w:r>
    </w:p>
    <w:p w:rsidR="003B3B59" w:rsidRPr="003B3B59" w:rsidRDefault="003B3B59" w:rsidP="001C43B5">
      <w:pPr>
        <w:spacing w:after="0" w:line="360" w:lineRule="auto"/>
        <w:jc w:val="both"/>
        <w:rPr>
          <w:rFonts w:ascii="Arial" w:eastAsia="Times New Roman" w:hAnsi="Arial" w:cs="Arial"/>
          <w:sz w:val="24"/>
          <w:szCs w:val="20"/>
        </w:rPr>
      </w:pPr>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 xml:space="preserve">The PI is also responsible for archiving all relevant source documents so that the data can be compared against source data after completion of the </w:t>
      </w:r>
      <w:r w:rsidR="002842EF">
        <w:rPr>
          <w:rFonts w:ascii="Arial" w:eastAsia="Times New Roman" w:hAnsi="Arial" w:cs="Arial"/>
          <w:sz w:val="24"/>
          <w:szCs w:val="20"/>
        </w:rPr>
        <w:t>audit study</w:t>
      </w:r>
      <w:r w:rsidRPr="003B3B59">
        <w:rPr>
          <w:rFonts w:ascii="Arial" w:eastAsia="Times New Roman" w:hAnsi="Arial" w:cs="Arial"/>
          <w:sz w:val="24"/>
          <w:szCs w:val="20"/>
        </w:rPr>
        <w:t xml:space="preserve"> (e.g. in case of inspection from authorities). They must ensure the continued storage of the documents, even if they, for example, </w:t>
      </w:r>
      <w:r w:rsidRPr="003B3B59">
        <w:rPr>
          <w:rFonts w:ascii="Arial" w:eastAsia="Times New Roman" w:hAnsi="Arial" w:cs="Arial"/>
          <w:sz w:val="24"/>
          <w:szCs w:val="20"/>
        </w:rPr>
        <w:lastRenderedPageBreak/>
        <w:t>leave the clinic/practice or retire before the end of required storage period. Delegation of responsibility for this must be documented in writing.</w:t>
      </w:r>
    </w:p>
    <w:p w:rsidR="003B3B59" w:rsidRPr="003B3B59" w:rsidRDefault="003B3B59" w:rsidP="001C43B5">
      <w:pPr>
        <w:spacing w:after="0" w:line="360" w:lineRule="auto"/>
        <w:jc w:val="both"/>
        <w:rPr>
          <w:rFonts w:ascii="Arial" w:eastAsia="Times New Roman" w:hAnsi="Arial" w:cs="Arial"/>
          <w:sz w:val="24"/>
          <w:szCs w:val="20"/>
        </w:rPr>
      </w:pPr>
    </w:p>
    <w:p w:rsidR="003B3B59" w:rsidRPr="003B3B59" w:rsidRDefault="003B3B59" w:rsidP="001C43B5">
      <w:pPr>
        <w:spacing w:after="0" w:line="360" w:lineRule="auto"/>
        <w:jc w:val="both"/>
        <w:rPr>
          <w:rFonts w:ascii="Arial" w:eastAsia="Times New Roman" w:hAnsi="Arial" w:cs="Arial"/>
          <w:sz w:val="24"/>
          <w:szCs w:val="20"/>
          <w:lang w:eastAsia="en-GB"/>
        </w:rPr>
      </w:pPr>
      <w:r w:rsidRPr="003B3B59">
        <w:rPr>
          <w:rFonts w:ascii="Arial" w:eastAsia="Times New Roman" w:hAnsi="Arial" w:cs="Arial"/>
          <w:sz w:val="24"/>
          <w:szCs w:val="20"/>
          <w:lang w:eastAsia="en-GB"/>
        </w:rPr>
        <w:t xml:space="preserve">All other persons and organisations involved in the </w:t>
      </w:r>
      <w:r w:rsidR="002842EF">
        <w:rPr>
          <w:rFonts w:ascii="Arial" w:eastAsia="Times New Roman" w:hAnsi="Arial" w:cs="Arial"/>
          <w:sz w:val="24"/>
          <w:szCs w:val="20"/>
          <w:lang w:eastAsia="en-GB"/>
        </w:rPr>
        <w:t>audit study</w:t>
      </w:r>
      <w:r w:rsidRPr="003B3B59">
        <w:rPr>
          <w:rFonts w:ascii="Arial" w:eastAsia="Times New Roman" w:hAnsi="Arial" w:cs="Arial"/>
          <w:sz w:val="24"/>
          <w:szCs w:val="20"/>
          <w:lang w:eastAsia="en-GB"/>
        </w:rPr>
        <w:t xml:space="preserve"> will be responsible for storing and archiving the parts of the TMF relevant to their delegated duties.</w:t>
      </w:r>
    </w:p>
    <w:p w:rsidR="003B3B59" w:rsidRPr="003B3B59" w:rsidRDefault="003B3B59" w:rsidP="001C43B5">
      <w:pPr>
        <w:spacing w:after="0" w:line="360" w:lineRule="auto"/>
        <w:jc w:val="both"/>
        <w:rPr>
          <w:rFonts w:ascii="Arial" w:eastAsia="Times New Roman" w:hAnsi="Arial" w:cs="Arial"/>
          <w:sz w:val="24"/>
          <w:szCs w:val="20"/>
        </w:rPr>
      </w:pPr>
    </w:p>
    <w:p w:rsidR="003B3B59" w:rsidRPr="003B3B59" w:rsidRDefault="003B3B59" w:rsidP="001C43B5">
      <w:pPr>
        <w:spacing w:after="0" w:line="360" w:lineRule="auto"/>
        <w:jc w:val="both"/>
        <w:rPr>
          <w:rFonts w:ascii="Arial" w:eastAsia="Times New Roman" w:hAnsi="Arial" w:cs="Arial"/>
          <w:sz w:val="24"/>
          <w:szCs w:val="20"/>
        </w:rPr>
      </w:pPr>
      <w:r w:rsidRPr="003B3B59">
        <w:rPr>
          <w:rFonts w:ascii="Arial" w:eastAsia="Times New Roman" w:hAnsi="Arial" w:cs="Arial"/>
          <w:sz w:val="24"/>
          <w:szCs w:val="20"/>
        </w:rPr>
        <w:t>The LCTC undertakes to archive as per their contractual requirements; documents will be archived in compliance with the principles of GCP. All electronic CRFs and data will be archived onto an appropriate media for long term accessible storage. Hard copies of data will be boxed and transferred to secure premises where unique reference numbers are applied to enable confidentiality, tracking and retrieval.</w:t>
      </w:r>
    </w:p>
    <w:p w:rsidR="003B3B59" w:rsidRPr="003B3B59" w:rsidRDefault="003B3B59" w:rsidP="001C43B5">
      <w:pPr>
        <w:spacing w:after="0" w:line="360" w:lineRule="auto"/>
        <w:jc w:val="both"/>
        <w:rPr>
          <w:rFonts w:ascii="Arial" w:eastAsia="Times New Roman" w:hAnsi="Arial" w:cs="Arial"/>
          <w:sz w:val="24"/>
        </w:rPr>
      </w:pPr>
    </w:p>
    <w:p w:rsidR="003B3B59" w:rsidRPr="00223A35" w:rsidRDefault="003B3B59" w:rsidP="001C43B5">
      <w:pPr>
        <w:pStyle w:val="ListParagraph"/>
        <w:keepNext/>
        <w:pageBreakBefore/>
        <w:numPr>
          <w:ilvl w:val="5"/>
          <w:numId w:val="19"/>
        </w:numPr>
        <w:spacing w:after="360" w:line="360" w:lineRule="auto"/>
        <w:ind w:left="709" w:hanging="709"/>
        <w:outlineLvl w:val="0"/>
        <w:rPr>
          <w:rFonts w:cs="Arial"/>
          <w:b/>
          <w:bCs/>
          <w:sz w:val="32"/>
        </w:rPr>
      </w:pPr>
      <w:bookmarkStart w:id="128" w:name="_Toc38877245"/>
      <w:bookmarkStart w:id="129" w:name="_Toc42020754"/>
      <w:bookmarkStart w:id="130" w:name="_Toc42077791"/>
      <w:bookmarkStart w:id="131" w:name="_Toc44574206"/>
      <w:r w:rsidRPr="00223A35">
        <w:rPr>
          <w:rFonts w:cs="Arial"/>
          <w:b/>
          <w:bCs/>
          <w:sz w:val="32"/>
        </w:rPr>
        <w:lastRenderedPageBreak/>
        <w:t>Regulatory and Ethical Considerations</w:t>
      </w:r>
      <w:bookmarkEnd w:id="128"/>
      <w:bookmarkEnd w:id="129"/>
      <w:bookmarkEnd w:id="130"/>
      <w:bookmarkEnd w:id="131"/>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bookmarkStart w:id="132" w:name="_Toc11312188"/>
      <w:bookmarkStart w:id="133" w:name="_Toc32578546"/>
      <w:r w:rsidRPr="003B3B59">
        <w:rPr>
          <w:rFonts w:ascii="Arial" w:eastAsia="Times New Roman" w:hAnsi="Arial" w:cs="Times New Roman"/>
          <w:b/>
          <w:bCs/>
          <w:color w:val="000000"/>
          <w:sz w:val="28"/>
          <w:szCs w:val="21"/>
        </w:rPr>
        <w:t>13.1 Statement of Compliance</w:t>
      </w:r>
    </w:p>
    <w:p w:rsidR="003B3B59" w:rsidRPr="003B3B59" w:rsidRDefault="003B3B59" w:rsidP="001C43B5">
      <w:pPr>
        <w:autoSpaceDE w:val="0"/>
        <w:autoSpaceDN w:val="0"/>
        <w:adjustRightInd w:val="0"/>
        <w:spacing w:after="120" w:line="360" w:lineRule="auto"/>
        <w:jc w:val="both"/>
        <w:rPr>
          <w:rFonts w:ascii="Arial" w:eastAsia="Times New Roman" w:hAnsi="Arial" w:cs="Times New Roman"/>
          <w:sz w:val="24"/>
          <w:szCs w:val="24"/>
        </w:rPr>
      </w:pPr>
      <w:r w:rsidRPr="003B3B59">
        <w:rPr>
          <w:rFonts w:ascii="Arial" w:eastAsia="Times New Roman" w:hAnsi="Arial" w:cs="Arial"/>
          <w:sz w:val="24"/>
        </w:rPr>
        <w:t xml:space="preserve">The procedures detailed within this protocol are compliant with the Health Research Authority guidance for audit projects. Where projects meet the criteria for audit, evidence of local trust approval for participation is required prior to any data collection. This is in line with </w:t>
      </w:r>
      <w:hyperlink r:id="rId14" w:history="1">
        <w:r w:rsidRPr="003B3B59">
          <w:rPr>
            <w:rFonts w:ascii="Arial" w:eastAsia="Times New Roman" w:hAnsi="Arial" w:cs="Arial"/>
            <w:sz w:val="24"/>
            <w:u w:val="single"/>
          </w:rPr>
          <w:t>HRA guidance</w:t>
        </w:r>
      </w:hyperlink>
      <w:r w:rsidRPr="003B3B59">
        <w:rPr>
          <w:rFonts w:ascii="Arial" w:eastAsia="Times New Roman" w:hAnsi="Arial" w:cs="Arial"/>
          <w:sz w:val="24"/>
        </w:rPr>
        <w:t xml:space="preserve"> </w:t>
      </w:r>
      <w:r w:rsidRPr="003B3B59">
        <w:rPr>
          <w:rFonts w:ascii="Arial" w:eastAsia="Times New Roman" w:hAnsi="Arial" w:cs="Times New Roman"/>
          <w:sz w:val="24"/>
          <w:szCs w:val="24"/>
        </w:rPr>
        <w:t xml:space="preserve">(Source: </w:t>
      </w:r>
      <w:hyperlink r:id="rId15" w:history="1">
        <w:r w:rsidRPr="003B3B59">
          <w:rPr>
            <w:rFonts w:ascii="Arial" w:eastAsia="Times New Roman" w:hAnsi="Arial" w:cs="Times New Roman"/>
            <w:sz w:val="24"/>
            <w:szCs w:val="24"/>
          </w:rPr>
          <w:t>https://www.hra.nhs.uk/approvals-amendments/what-approvals-do-i-need/</w:t>
        </w:r>
      </w:hyperlink>
      <w:r w:rsidRPr="003B3B59">
        <w:rPr>
          <w:rFonts w:ascii="Arial" w:eastAsia="Times New Roman" w:hAnsi="Arial" w:cs="Times New Roman"/>
          <w:sz w:val="24"/>
          <w:szCs w:val="24"/>
        </w:rPr>
        <w:t>).</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szCs w:val="24"/>
        </w:rPr>
      </w:pPr>
      <w:r w:rsidRPr="003B3B59">
        <w:rPr>
          <w:rFonts w:ascii="Arial" w:eastAsia="Times New Roman" w:hAnsi="Arial" w:cs="Times New Roman"/>
          <w:sz w:val="24"/>
          <w:szCs w:val="24"/>
        </w:rPr>
        <w:t>Local audit approvals will need to be obtained, with a supervising named consultant, if the unit lead is a trainee. This approval will be collected by the TMG.</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13.2 Ethical Considerations</w:t>
      </w:r>
    </w:p>
    <w:p w:rsidR="003B3B59" w:rsidRPr="003B3B59" w:rsidRDefault="003B3B59" w:rsidP="001C43B5">
      <w:pPr>
        <w:spacing w:after="0" w:line="360" w:lineRule="auto"/>
        <w:jc w:val="both"/>
        <w:rPr>
          <w:rFonts w:ascii="Arial" w:eastAsia="Times New Roman" w:hAnsi="Arial" w:cs="Times New Roman"/>
          <w:sz w:val="24"/>
          <w:szCs w:val="24"/>
        </w:rPr>
      </w:pPr>
      <w:r w:rsidRPr="00A33C30">
        <w:rPr>
          <w:rFonts w:ascii="Arial" w:eastAsia="Times New Roman" w:hAnsi="Arial" w:cs="Times New Roman"/>
          <w:sz w:val="24"/>
          <w:szCs w:val="24"/>
        </w:rPr>
        <w:t>The PRIMROSE audit does not require REC review as it is an audit, and not a research project. This has been confirmed using the HRA decision tools</w:t>
      </w:r>
      <w:r w:rsidR="00066D68" w:rsidRPr="00A33C30">
        <w:rPr>
          <w:rFonts w:ascii="Arial" w:eastAsia="Times New Roman" w:hAnsi="Arial" w:cs="Times New Roman"/>
          <w:sz w:val="24"/>
          <w:szCs w:val="24"/>
        </w:rPr>
        <w:t xml:space="preserve"> and as advised on the tools, we have sought further guidance from an HRA Approvals Specialist. D</w:t>
      </w:r>
      <w:r w:rsidRPr="00A33C30">
        <w:rPr>
          <w:rFonts w:ascii="Arial" w:eastAsia="Times New Roman" w:hAnsi="Arial" w:cs="Times New Roman"/>
          <w:sz w:val="24"/>
          <w:szCs w:val="24"/>
        </w:rPr>
        <w:t>ocuments confirming the outcome of these are available on request.</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13.3 Approvals</w:t>
      </w:r>
      <w:bookmarkEnd w:id="132"/>
      <w:bookmarkEnd w:id="133"/>
    </w:p>
    <w:p w:rsidR="003B3B59" w:rsidRPr="003B3B59" w:rsidRDefault="003B3B59" w:rsidP="001C43B5">
      <w:pPr>
        <w:autoSpaceDE w:val="0"/>
        <w:autoSpaceDN w:val="0"/>
        <w:adjustRightInd w:val="0"/>
        <w:spacing w:after="0" w:line="360" w:lineRule="auto"/>
        <w:rPr>
          <w:rFonts w:ascii="Arial" w:eastAsia="Times New Roman" w:hAnsi="Arial" w:cs="Arial"/>
          <w:sz w:val="24"/>
          <w:szCs w:val="20"/>
        </w:rPr>
      </w:pPr>
      <w:bookmarkStart w:id="134" w:name="_Toc261522985"/>
      <w:bookmarkStart w:id="135" w:name="_Toc261523245"/>
      <w:bookmarkStart w:id="136" w:name="_Toc261523511"/>
      <w:bookmarkStart w:id="137" w:name="_Toc261522988"/>
      <w:bookmarkStart w:id="138" w:name="_Toc261523248"/>
      <w:bookmarkStart w:id="139" w:name="_Toc261523514"/>
      <w:bookmarkStart w:id="140" w:name="_Toc261522993"/>
      <w:bookmarkStart w:id="141" w:name="_Toc261523253"/>
      <w:bookmarkStart w:id="142" w:name="_Toc261523519"/>
      <w:bookmarkStart w:id="143" w:name="_Toc261522996"/>
      <w:bookmarkStart w:id="144" w:name="_Toc261523256"/>
      <w:bookmarkStart w:id="145" w:name="_Toc261523522"/>
      <w:bookmarkStart w:id="146" w:name="_Toc261522999"/>
      <w:bookmarkStart w:id="147" w:name="_Toc261523259"/>
      <w:bookmarkStart w:id="148" w:name="_Toc261523525"/>
      <w:bookmarkStart w:id="149" w:name="_Toc261523002"/>
      <w:bookmarkStart w:id="150" w:name="_Toc261523262"/>
      <w:bookmarkStart w:id="151" w:name="_Toc261523528"/>
      <w:bookmarkStart w:id="152" w:name="_Toc261523005"/>
      <w:bookmarkStart w:id="153" w:name="_Toc261523265"/>
      <w:bookmarkStart w:id="154" w:name="_Toc261523531"/>
      <w:bookmarkStart w:id="155" w:name="_Toc261523009"/>
      <w:bookmarkStart w:id="156" w:name="_Toc261523269"/>
      <w:bookmarkStart w:id="157" w:name="_Toc261523535"/>
      <w:bookmarkStart w:id="158" w:name="_Toc261523011"/>
      <w:bookmarkStart w:id="159" w:name="_Toc261523271"/>
      <w:bookmarkStart w:id="160" w:name="_Toc261523537"/>
      <w:bookmarkStart w:id="161" w:name="_Toc261523015"/>
      <w:bookmarkStart w:id="162" w:name="_Toc261523275"/>
      <w:bookmarkStart w:id="163" w:name="_Toc261523541"/>
      <w:bookmarkStart w:id="164" w:name="_Toc261523016"/>
      <w:bookmarkStart w:id="165" w:name="_Toc261523276"/>
      <w:bookmarkStart w:id="166" w:name="_Toc261523542"/>
      <w:bookmarkStart w:id="167" w:name="_Toc261523017"/>
      <w:bookmarkStart w:id="168" w:name="_Toc261523277"/>
      <w:bookmarkStart w:id="169" w:name="_Toc261523543"/>
      <w:bookmarkStart w:id="170" w:name="_Toc261523021"/>
      <w:bookmarkStart w:id="171" w:name="_Toc261523281"/>
      <w:bookmarkStart w:id="172" w:name="_Toc261523547"/>
      <w:bookmarkStart w:id="173" w:name="_Toc261523033"/>
      <w:bookmarkStart w:id="174" w:name="_Toc261523293"/>
      <w:bookmarkStart w:id="175" w:name="_Toc261523559"/>
      <w:bookmarkStart w:id="176" w:name="_Toc261523035"/>
      <w:bookmarkStart w:id="177" w:name="_Toc261523295"/>
      <w:bookmarkStart w:id="178" w:name="_Toc261523561"/>
      <w:bookmarkStart w:id="179" w:name="_Toc170889055"/>
      <w:bookmarkStart w:id="180" w:name="_Toc170889363"/>
      <w:bookmarkStart w:id="181" w:name="_Toc170889445"/>
      <w:bookmarkStart w:id="182" w:name="_Toc170889509"/>
      <w:bookmarkStart w:id="183" w:name="_Toc170889573"/>
      <w:bookmarkStart w:id="184" w:name="_Toc170889637"/>
      <w:bookmarkStart w:id="185" w:name="_Toc170889702"/>
      <w:bookmarkStart w:id="186" w:name="_Toc170889574"/>
      <w:bookmarkStart w:id="187" w:name="_Toc170889638"/>
      <w:bookmarkStart w:id="188" w:name="_Toc170889703"/>
      <w:bookmarkStart w:id="189" w:name="_Toc170889575"/>
      <w:bookmarkStart w:id="190" w:name="_Toc261523036"/>
      <w:bookmarkStart w:id="191" w:name="_Toc261523296"/>
      <w:bookmarkStart w:id="192" w:name="_Toc261523562"/>
      <w:bookmarkStart w:id="193" w:name="_Toc170889057"/>
      <w:bookmarkStart w:id="194" w:name="_Toc170889365"/>
      <w:bookmarkStart w:id="195" w:name="_Toc170889447"/>
      <w:bookmarkStart w:id="196" w:name="_Toc170889511"/>
      <w:bookmarkStart w:id="197" w:name="_Toc170889576"/>
      <w:bookmarkStart w:id="198" w:name="_Toc170889640"/>
      <w:bookmarkStart w:id="199" w:name="_Toc170889705"/>
      <w:bookmarkStart w:id="200" w:name="_Toc170889767"/>
      <w:bookmarkStart w:id="201" w:name="_Toc170889829"/>
      <w:bookmarkStart w:id="202" w:name="_Toc170889890"/>
      <w:bookmarkStart w:id="203" w:name="_Toc170889953"/>
      <w:bookmarkStart w:id="204" w:name="_Toc170889058"/>
      <w:bookmarkStart w:id="205" w:name="_Toc170889366"/>
      <w:bookmarkStart w:id="206" w:name="_Toc170889448"/>
      <w:bookmarkStart w:id="207" w:name="_Toc170889512"/>
      <w:bookmarkStart w:id="208" w:name="_Toc170889577"/>
      <w:bookmarkStart w:id="209" w:name="_Toc170889641"/>
      <w:bookmarkStart w:id="210" w:name="_Toc170889706"/>
      <w:bookmarkStart w:id="211" w:name="_Toc170889768"/>
      <w:bookmarkStart w:id="212" w:name="_Toc170889830"/>
      <w:bookmarkStart w:id="213" w:name="_Toc170889891"/>
      <w:bookmarkStart w:id="214" w:name="_Toc170889954"/>
      <w:bookmarkStart w:id="215" w:name="_Toc170889060"/>
      <w:bookmarkStart w:id="216" w:name="_Toc170889368"/>
      <w:bookmarkStart w:id="217" w:name="_Toc170889450"/>
      <w:bookmarkStart w:id="218" w:name="_Toc170889514"/>
      <w:bookmarkStart w:id="219" w:name="_Toc170889579"/>
      <w:bookmarkStart w:id="220" w:name="_Toc170889643"/>
      <w:bookmarkStart w:id="221" w:name="_Toc170889708"/>
      <w:bookmarkStart w:id="222" w:name="_Toc170889770"/>
      <w:bookmarkStart w:id="223" w:name="_Toc170889832"/>
      <w:bookmarkStart w:id="224" w:name="_Toc170889893"/>
      <w:bookmarkStart w:id="225" w:name="_Toc170889956"/>
      <w:bookmarkStart w:id="226" w:name="_Toc170889063"/>
      <w:bookmarkStart w:id="227" w:name="_Toc170889371"/>
      <w:bookmarkStart w:id="228" w:name="_Toc170889453"/>
      <w:bookmarkStart w:id="229" w:name="_Toc170889517"/>
      <w:bookmarkStart w:id="230" w:name="_Toc170889582"/>
      <w:bookmarkStart w:id="231" w:name="_Toc170889646"/>
      <w:bookmarkStart w:id="232" w:name="_Toc170889711"/>
      <w:bookmarkStart w:id="233" w:name="_Toc170889773"/>
      <w:bookmarkStart w:id="234" w:name="_Toc170889835"/>
      <w:bookmarkStart w:id="235" w:name="_Toc170889896"/>
      <w:bookmarkStart w:id="236" w:name="_Toc170889959"/>
      <w:bookmarkStart w:id="237" w:name="_Toc170889064"/>
      <w:bookmarkStart w:id="238" w:name="_Toc170889372"/>
      <w:bookmarkStart w:id="239" w:name="_Toc170889454"/>
      <w:bookmarkStart w:id="240" w:name="_Toc170889518"/>
      <w:bookmarkStart w:id="241" w:name="_Toc170889583"/>
      <w:bookmarkStart w:id="242" w:name="_Toc170889647"/>
      <w:bookmarkStart w:id="243" w:name="_Toc170889712"/>
      <w:bookmarkStart w:id="244" w:name="_Toc170889774"/>
      <w:bookmarkStart w:id="245" w:name="_Toc170889836"/>
      <w:bookmarkStart w:id="246" w:name="_Toc170889897"/>
      <w:bookmarkStart w:id="247" w:name="_Toc170889960"/>
      <w:bookmarkStart w:id="248" w:name="_Toc170889067"/>
      <w:bookmarkStart w:id="249" w:name="_Toc170889375"/>
      <w:bookmarkStart w:id="250" w:name="_Toc170889457"/>
      <w:bookmarkStart w:id="251" w:name="_Toc170889521"/>
      <w:bookmarkStart w:id="252" w:name="_Toc170889586"/>
      <w:bookmarkStart w:id="253" w:name="_Toc170889650"/>
      <w:bookmarkStart w:id="254" w:name="_Toc170889715"/>
      <w:bookmarkStart w:id="255" w:name="_Toc170889777"/>
      <w:bookmarkStart w:id="256" w:name="_Toc170889839"/>
      <w:bookmarkStart w:id="257" w:name="_Toc170889900"/>
      <w:bookmarkStart w:id="258" w:name="_Toc170889963"/>
      <w:bookmarkStart w:id="259" w:name="_Toc170889072"/>
      <w:bookmarkStart w:id="260" w:name="_Toc170889380"/>
      <w:bookmarkStart w:id="261" w:name="_Toc170889462"/>
      <w:bookmarkStart w:id="262" w:name="_Toc170889526"/>
      <w:bookmarkStart w:id="263" w:name="_Toc170889591"/>
      <w:bookmarkStart w:id="264" w:name="_Toc170889655"/>
      <w:bookmarkStart w:id="265" w:name="_Toc170889720"/>
      <w:bookmarkStart w:id="266" w:name="_Toc170889782"/>
      <w:bookmarkStart w:id="267" w:name="_Toc170889844"/>
      <w:bookmarkStart w:id="268" w:name="_Toc170889905"/>
      <w:bookmarkStart w:id="269" w:name="_Toc170889968"/>
      <w:bookmarkStart w:id="270" w:name="_Toc170889073"/>
      <w:bookmarkStart w:id="271" w:name="_Toc170889381"/>
      <w:bookmarkStart w:id="272" w:name="_Toc170889463"/>
      <w:bookmarkStart w:id="273" w:name="_Toc170889527"/>
      <w:bookmarkStart w:id="274" w:name="_Toc170889592"/>
      <w:bookmarkStart w:id="275" w:name="_Toc170889656"/>
      <w:bookmarkStart w:id="276" w:name="_Toc170889721"/>
      <w:bookmarkStart w:id="277" w:name="_Toc170889783"/>
      <w:bookmarkStart w:id="278" w:name="_Toc170889845"/>
      <w:bookmarkStart w:id="279" w:name="_Toc170889906"/>
      <w:bookmarkStart w:id="280" w:name="_Toc170889969"/>
      <w:bookmarkStart w:id="281" w:name="_Toc261523047"/>
      <w:bookmarkStart w:id="282" w:name="_Toc261523307"/>
      <w:bookmarkStart w:id="283" w:name="_Toc261523573"/>
      <w:bookmarkStart w:id="284" w:name="_Toc261523048"/>
      <w:bookmarkStart w:id="285" w:name="_Toc261523308"/>
      <w:bookmarkStart w:id="286" w:name="_Toc261523574"/>
      <w:bookmarkStart w:id="287" w:name="_Toc261523049"/>
      <w:bookmarkStart w:id="288" w:name="_Toc261523309"/>
      <w:bookmarkStart w:id="289" w:name="_Toc261523575"/>
      <w:bookmarkStart w:id="290" w:name="_Toc261523050"/>
      <w:bookmarkStart w:id="291" w:name="_Toc261523310"/>
      <w:bookmarkStart w:id="292" w:name="_Toc261523576"/>
      <w:bookmarkStart w:id="293" w:name="_Toc261523052"/>
      <w:bookmarkStart w:id="294" w:name="_Toc261523312"/>
      <w:bookmarkStart w:id="295" w:name="_Toc261523578"/>
      <w:bookmarkStart w:id="296" w:name="_Toc261523060"/>
      <w:bookmarkStart w:id="297" w:name="_Toc261523320"/>
      <w:bookmarkStart w:id="298" w:name="_Toc261523586"/>
      <w:bookmarkStart w:id="299" w:name="_Toc261523066"/>
      <w:bookmarkStart w:id="300" w:name="_Toc261523326"/>
      <w:bookmarkStart w:id="301" w:name="_Toc261523592"/>
      <w:bookmarkStart w:id="302" w:name="_Toc261523068"/>
      <w:bookmarkStart w:id="303" w:name="_Toc261523328"/>
      <w:bookmarkStart w:id="304" w:name="_Toc261523594"/>
      <w:bookmarkStart w:id="305" w:name="_Toc261523071"/>
      <w:bookmarkStart w:id="306" w:name="_Toc261523331"/>
      <w:bookmarkStart w:id="307" w:name="_Toc261523597"/>
      <w:bookmarkStart w:id="308" w:name="_Toc261523094"/>
      <w:bookmarkStart w:id="309" w:name="_Toc261523354"/>
      <w:bookmarkStart w:id="310" w:name="_Toc261523620"/>
      <w:bookmarkStart w:id="311" w:name="_Toc170889079"/>
      <w:bookmarkStart w:id="312" w:name="_Toc170889387"/>
      <w:bookmarkStart w:id="313" w:name="_Toc170889469"/>
      <w:bookmarkStart w:id="314" w:name="_Toc170889533"/>
      <w:bookmarkStart w:id="315" w:name="_Toc170889598"/>
      <w:bookmarkStart w:id="316" w:name="_Toc170889662"/>
      <w:bookmarkStart w:id="317" w:name="_Toc170889727"/>
      <w:bookmarkStart w:id="318" w:name="_Toc170889789"/>
      <w:bookmarkStart w:id="319" w:name="_Toc170889851"/>
      <w:bookmarkStart w:id="320" w:name="_Toc170889912"/>
      <w:bookmarkStart w:id="321" w:name="_Toc170889975"/>
      <w:bookmarkStart w:id="322" w:name="_Toc261523108"/>
      <w:bookmarkStart w:id="323" w:name="_Toc261523368"/>
      <w:bookmarkStart w:id="324" w:name="_Toc261523634"/>
      <w:bookmarkStart w:id="325" w:name="_Toc261523109"/>
      <w:bookmarkStart w:id="326" w:name="_Toc261523369"/>
      <w:bookmarkStart w:id="327" w:name="_Toc261523635"/>
      <w:bookmarkStart w:id="328" w:name="_Toc26152311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3B3B59">
        <w:rPr>
          <w:rFonts w:ascii="Arial" w:eastAsia="Times New Roman" w:hAnsi="Arial" w:cs="Arial"/>
          <w:sz w:val="24"/>
          <w:szCs w:val="24"/>
        </w:rPr>
        <w:t xml:space="preserve">The audit will abide by the principles of the World Medical Association Declaration of Helsinki and has been designed to be as pragmatic as possible. </w:t>
      </w:r>
    </w:p>
    <w:p w:rsidR="003B3B59" w:rsidRPr="003B3B59" w:rsidRDefault="003B3B59" w:rsidP="001C43B5">
      <w:pPr>
        <w:keepNext/>
        <w:spacing w:before="360" w:after="120" w:line="360" w:lineRule="auto"/>
        <w:ind w:left="993" w:hanging="993"/>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13.4 Protocol Deviation and Serious Breaches</w:t>
      </w: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Deviations from, breaches or violations of, or non-compliance to either the protocol, the conditions or principles of GCP, are handled based on their nature and severity.</w:t>
      </w:r>
    </w:p>
    <w:p w:rsidR="003B3B59" w:rsidRPr="003B3B59" w:rsidRDefault="003B3B59" w:rsidP="001C43B5">
      <w:pPr>
        <w:keepNext/>
        <w:spacing w:before="360" w:after="0" w:line="360" w:lineRule="auto"/>
        <w:ind w:left="778" w:hanging="211"/>
        <w:outlineLvl w:val="2"/>
        <w:rPr>
          <w:rFonts w:ascii="Arial" w:eastAsia="Times New Roman" w:hAnsi="Arial" w:cs="Times New Roman"/>
          <w:b/>
          <w:bCs/>
          <w:sz w:val="24"/>
          <w:szCs w:val="24"/>
        </w:rPr>
      </w:pPr>
      <w:bookmarkStart w:id="329" w:name="_Toc32578548"/>
      <w:r w:rsidRPr="003B3B59">
        <w:rPr>
          <w:rFonts w:ascii="Arial" w:eastAsia="Times New Roman" w:hAnsi="Arial" w:cs="Times New Roman"/>
          <w:b/>
          <w:bCs/>
          <w:sz w:val="24"/>
          <w:szCs w:val="24"/>
        </w:rPr>
        <w:t>13.4.1 Non-Serious breaches</w:t>
      </w:r>
      <w:bookmarkEnd w:id="329"/>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 xml:space="preserve">Protocol deviations and other non-serious breaches of GCP etc. will be managed according to local site and LCTC procedures as appropriate. They will be reported to </w:t>
      </w:r>
      <w:r w:rsidR="00F948EA">
        <w:rPr>
          <w:rFonts w:ascii="Arial" w:eastAsia="Times New Roman" w:hAnsi="Arial" w:cs="Times New Roman"/>
          <w:sz w:val="24"/>
        </w:rPr>
        <w:t>study</w:t>
      </w:r>
      <w:r w:rsidRPr="003B3B59">
        <w:rPr>
          <w:rFonts w:ascii="Arial" w:eastAsia="Times New Roman" w:hAnsi="Arial" w:cs="Times New Roman"/>
          <w:sz w:val="24"/>
        </w:rPr>
        <w:t xml:space="preserve"> oversight committees.</w:t>
      </w:r>
    </w:p>
    <w:p w:rsidR="003B3B59" w:rsidRPr="003B3B59" w:rsidRDefault="003B3B59" w:rsidP="001C43B5">
      <w:pPr>
        <w:keepNext/>
        <w:spacing w:before="360" w:after="0" w:line="360" w:lineRule="auto"/>
        <w:ind w:left="778" w:hanging="211"/>
        <w:outlineLvl w:val="2"/>
        <w:rPr>
          <w:rFonts w:ascii="Arial" w:eastAsia="Times New Roman" w:hAnsi="Arial" w:cs="Times New Roman"/>
          <w:b/>
          <w:bCs/>
          <w:sz w:val="24"/>
          <w:szCs w:val="24"/>
        </w:rPr>
      </w:pPr>
      <w:bookmarkStart w:id="330" w:name="_Toc32578549"/>
      <w:r w:rsidRPr="003B3B59">
        <w:rPr>
          <w:rFonts w:ascii="Arial" w:eastAsia="Times New Roman" w:hAnsi="Arial" w:cs="Times New Roman"/>
          <w:b/>
          <w:bCs/>
          <w:sz w:val="24"/>
          <w:szCs w:val="24"/>
        </w:rPr>
        <w:t>13.4.2 Serious breaches</w:t>
      </w:r>
      <w:bookmarkEnd w:id="330"/>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lastRenderedPageBreak/>
        <w:t>A breach of the protocol or GCP is ‘serious’ if it meets the definition of being “likely to affect to a significant degree the safety or physical or mental integrity of the study participants, or the scientific value of the study”. This assessment can only be determined by the Sponsor.</w:t>
      </w:r>
    </w:p>
    <w:p w:rsidR="003B3B59" w:rsidRPr="003B3B59" w:rsidRDefault="003B3B59" w:rsidP="001C43B5">
      <w:pPr>
        <w:spacing w:after="0" w:line="360" w:lineRule="auto"/>
        <w:jc w:val="both"/>
        <w:rPr>
          <w:rFonts w:ascii="Arial" w:eastAsia="Times New Roman" w:hAnsi="Arial" w:cs="Times New Roman"/>
          <w:sz w:val="24"/>
        </w:rPr>
      </w:pP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 xml:space="preserve">If any persons involved in the conduct of the </w:t>
      </w:r>
      <w:r w:rsidR="00F948EA">
        <w:rPr>
          <w:rFonts w:ascii="Arial" w:eastAsia="Times New Roman" w:hAnsi="Arial" w:cs="Times New Roman"/>
          <w:sz w:val="24"/>
        </w:rPr>
        <w:t>study</w:t>
      </w:r>
      <w:r w:rsidRPr="003B3B59">
        <w:rPr>
          <w:rFonts w:ascii="Arial" w:eastAsia="Times New Roman" w:hAnsi="Arial" w:cs="Times New Roman"/>
          <w:sz w:val="24"/>
        </w:rPr>
        <w:t xml:space="preserve"> become aware of a potential serious breach, they must immediately report this to the LCTC who will in turn notify the Sponsor. The Sponsor will assess the breach and determine if it meets the criteria of a ‘serious’ breach. </w:t>
      </w:r>
    </w:p>
    <w:p w:rsidR="003B3B59" w:rsidRPr="003B3B59" w:rsidRDefault="003B3B59" w:rsidP="001C43B5">
      <w:pPr>
        <w:spacing w:after="0" w:line="360" w:lineRule="auto"/>
        <w:jc w:val="both"/>
        <w:rPr>
          <w:rFonts w:ascii="Arial" w:eastAsia="Times New Roman" w:hAnsi="Arial" w:cs="Times New Roman"/>
          <w:sz w:val="24"/>
        </w:rPr>
      </w:pP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The Sponsor may seek advice from medical expert members of the TMG and/or TSC in determining whether or not the breach is likely to affect to a significant degree the safety, physical or mental integrity of participants.</w:t>
      </w: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 xml:space="preserve"> </w:t>
      </w: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 xml:space="preserve">The Sponsor may seek advice from the Statistician in determining whether or not the breach is likely to significantly affect the scientific value of the </w:t>
      </w:r>
      <w:r w:rsidR="00F948EA">
        <w:rPr>
          <w:rFonts w:ascii="Arial" w:eastAsia="Times New Roman" w:hAnsi="Arial" w:cs="Times New Roman"/>
          <w:sz w:val="24"/>
        </w:rPr>
        <w:t>audit study</w:t>
      </w:r>
      <w:r w:rsidRPr="003B3B59">
        <w:rPr>
          <w:rFonts w:ascii="Arial" w:eastAsia="Times New Roman" w:hAnsi="Arial" w:cs="Times New Roman"/>
          <w:sz w:val="24"/>
        </w:rPr>
        <w:t xml:space="preserve">. </w:t>
      </w:r>
      <w:r w:rsidRPr="003B3B59">
        <w:rPr>
          <w:rFonts w:ascii="Arial" w:eastAsia="Times New Roman" w:hAnsi="Arial" w:cs="Times New Roman"/>
          <w:sz w:val="24"/>
          <w:szCs w:val="24"/>
        </w:rPr>
        <w:t>However, the Sponsor retains responsibility for the assessment of whether or not a breach meets the definition of ‘serious’.</w:t>
      </w: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Breaches confirmed as ‘serious’ will be notified to the TMG</w:t>
      </w:r>
      <w:r w:rsidR="00066D68">
        <w:rPr>
          <w:rFonts w:ascii="Arial" w:eastAsia="Times New Roman" w:hAnsi="Arial" w:cs="Times New Roman"/>
          <w:sz w:val="24"/>
        </w:rPr>
        <w:t xml:space="preserve"> </w:t>
      </w:r>
      <w:r w:rsidRPr="003B3B59">
        <w:rPr>
          <w:rFonts w:ascii="Arial" w:eastAsia="Times New Roman" w:hAnsi="Arial" w:cs="Times New Roman"/>
          <w:sz w:val="24"/>
        </w:rPr>
        <w:t>and TSC at their next meeting.</w:t>
      </w: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 xml:space="preserve"> </w:t>
      </w: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rPr>
        <w:t>Any requests for additional information from the Sponsor, TMG</w:t>
      </w:r>
      <w:r w:rsidR="00066D68">
        <w:rPr>
          <w:rFonts w:ascii="Arial" w:eastAsia="Times New Roman" w:hAnsi="Arial" w:cs="Arial"/>
          <w:sz w:val="24"/>
        </w:rPr>
        <w:t xml:space="preserve"> or</w:t>
      </w:r>
      <w:r w:rsidRPr="003B3B59">
        <w:rPr>
          <w:rFonts w:ascii="Arial" w:eastAsia="Times New Roman" w:hAnsi="Arial" w:cs="Arial"/>
          <w:sz w:val="24"/>
        </w:rPr>
        <w:t xml:space="preserve"> TSC, will be promptly actioned by the relevant member(s) of the research team and open communication will be maintained to ensure appropriate corrective actions are taken and documented.</w:t>
      </w:r>
    </w:p>
    <w:p w:rsidR="003B3B59" w:rsidRPr="003B3B59" w:rsidRDefault="003B3B59" w:rsidP="001C43B5">
      <w:pPr>
        <w:spacing w:after="0" w:line="360" w:lineRule="auto"/>
        <w:jc w:val="both"/>
        <w:rPr>
          <w:rFonts w:ascii="Arial" w:eastAsia="Times New Roman" w:hAnsi="Arial" w:cs="Arial"/>
          <w:sz w:val="24"/>
        </w:rPr>
      </w:pPr>
    </w:p>
    <w:p w:rsidR="003B3B59" w:rsidRPr="003B3B59" w:rsidRDefault="003B3B59" w:rsidP="001C43B5">
      <w:pPr>
        <w:spacing w:after="0" w:line="360" w:lineRule="auto"/>
        <w:jc w:val="both"/>
        <w:rPr>
          <w:rFonts w:ascii="Arial" w:eastAsia="Times New Roman" w:hAnsi="Arial" w:cs="Times New Roman"/>
          <w:sz w:val="24"/>
        </w:rPr>
      </w:pPr>
      <w:r w:rsidRPr="003B3B59">
        <w:rPr>
          <w:rFonts w:ascii="Arial" w:eastAsia="Times New Roman" w:hAnsi="Arial" w:cs="Times New Roman"/>
          <w:sz w:val="24"/>
        </w:rPr>
        <w:t xml:space="preserve">Incidents of protocol non-compliance will be recorded as protocol deviations, the incidence of which are monitored and reported to oversight committees. </w:t>
      </w:r>
    </w:p>
    <w:p w:rsidR="003B3B59" w:rsidRPr="003B3B59" w:rsidRDefault="003B3B59" w:rsidP="001C43B5">
      <w:pPr>
        <w:spacing w:after="0" w:line="360" w:lineRule="auto"/>
        <w:jc w:val="both"/>
        <w:rPr>
          <w:rFonts w:ascii="Arial" w:eastAsia="Times New Roman" w:hAnsi="Arial" w:cs="Times New Roman"/>
          <w:sz w:val="24"/>
          <w:szCs w:val="24"/>
        </w:rPr>
      </w:pPr>
    </w:p>
    <w:p w:rsidR="003B3B59" w:rsidRPr="003B3B59" w:rsidRDefault="003B3B59" w:rsidP="001C43B5">
      <w:pPr>
        <w:spacing w:after="0" w:line="360" w:lineRule="auto"/>
        <w:jc w:val="both"/>
        <w:rPr>
          <w:rFonts w:ascii="Arial" w:eastAsia="Times New Roman" w:hAnsi="Arial" w:cs="Arial"/>
          <w:sz w:val="24"/>
        </w:rPr>
      </w:pPr>
    </w:p>
    <w:p w:rsidR="003B3B59" w:rsidRPr="00223A35" w:rsidRDefault="003B3B59" w:rsidP="001C43B5">
      <w:pPr>
        <w:pStyle w:val="ListParagraph"/>
        <w:keepNext/>
        <w:pageBreakBefore/>
        <w:numPr>
          <w:ilvl w:val="5"/>
          <w:numId w:val="19"/>
        </w:numPr>
        <w:spacing w:after="360" w:line="360" w:lineRule="auto"/>
        <w:ind w:left="851" w:hanging="709"/>
        <w:outlineLvl w:val="0"/>
        <w:rPr>
          <w:rFonts w:cs="Arial"/>
          <w:b/>
          <w:bCs/>
          <w:sz w:val="32"/>
        </w:rPr>
      </w:pPr>
      <w:bookmarkStart w:id="331" w:name="_Toc32578550"/>
      <w:bookmarkStart w:id="332" w:name="_Toc38877246"/>
      <w:bookmarkStart w:id="333" w:name="_Toc42020755"/>
      <w:bookmarkStart w:id="334" w:name="_Toc42077792"/>
      <w:bookmarkStart w:id="335" w:name="_Toc44574207"/>
      <w:r w:rsidRPr="00223A35">
        <w:rPr>
          <w:rFonts w:cs="Arial"/>
          <w:b/>
          <w:bCs/>
          <w:sz w:val="32"/>
        </w:rPr>
        <w:lastRenderedPageBreak/>
        <w:t>Indemnity</w:t>
      </w:r>
      <w:bookmarkEnd w:id="331"/>
      <w:bookmarkEnd w:id="332"/>
      <w:bookmarkEnd w:id="333"/>
      <w:bookmarkEnd w:id="334"/>
      <w:bookmarkEnd w:id="335"/>
    </w:p>
    <w:p w:rsidR="003B3B59" w:rsidRPr="003B3B59" w:rsidRDefault="003B3B59" w:rsidP="001C43B5">
      <w:pPr>
        <w:spacing w:after="0" w:line="360" w:lineRule="auto"/>
        <w:jc w:val="both"/>
        <w:rPr>
          <w:rFonts w:ascii="Arial" w:eastAsia="Times New Roman" w:hAnsi="Arial" w:cs="Arial"/>
          <w:snapToGrid w:val="0"/>
          <w:sz w:val="24"/>
          <w:szCs w:val="20"/>
        </w:rPr>
      </w:pPr>
      <w:r w:rsidRPr="003B3B59">
        <w:rPr>
          <w:rFonts w:ascii="Arial" w:eastAsia="Times New Roman" w:hAnsi="Arial" w:cs="Arial"/>
          <w:snapToGrid w:val="0"/>
          <w:sz w:val="24"/>
          <w:szCs w:val="20"/>
        </w:rPr>
        <w:t>The University of Liverpool holds insurance against claims from participants for harm caused by their participation in this audit. However, the treating hospital continues to have a duty of care to the participant and the Sponsor does not accept liability for any breach in the hospital’s duty of care, or any negligence of the part of hospital employees. In these cases, clinical negligence indemnification will rest with the participating NHS Trust or Trusts under standard NHS arrangements.</w:t>
      </w:r>
    </w:p>
    <w:p w:rsidR="003B3B59" w:rsidRPr="003B3B59" w:rsidRDefault="003B3B59" w:rsidP="001C43B5">
      <w:pPr>
        <w:spacing w:after="0" w:line="360" w:lineRule="auto"/>
        <w:jc w:val="both"/>
        <w:rPr>
          <w:rFonts w:ascii="Arial" w:eastAsia="Times New Roman" w:hAnsi="Arial" w:cs="Arial"/>
          <w:sz w:val="24"/>
        </w:rPr>
      </w:pPr>
    </w:p>
    <w:p w:rsidR="003B3B59" w:rsidRPr="00223A35" w:rsidRDefault="003B3B59" w:rsidP="001C43B5">
      <w:pPr>
        <w:pStyle w:val="ListParagraph"/>
        <w:keepNext/>
        <w:pageBreakBefore/>
        <w:numPr>
          <w:ilvl w:val="5"/>
          <w:numId w:val="19"/>
        </w:numPr>
        <w:spacing w:after="360" w:line="360" w:lineRule="auto"/>
        <w:ind w:left="851" w:hanging="851"/>
        <w:outlineLvl w:val="0"/>
        <w:rPr>
          <w:rFonts w:cs="Arial"/>
          <w:b/>
          <w:bCs/>
          <w:sz w:val="32"/>
        </w:rPr>
      </w:pPr>
      <w:bookmarkStart w:id="336" w:name="_Toc38877247"/>
      <w:bookmarkStart w:id="337" w:name="_Toc42020756"/>
      <w:bookmarkStart w:id="338" w:name="_Toc42077793"/>
      <w:bookmarkStart w:id="339" w:name="_Toc32578551"/>
      <w:bookmarkStart w:id="340" w:name="_Toc44574208"/>
      <w:r w:rsidRPr="00223A35">
        <w:rPr>
          <w:rFonts w:cs="Arial"/>
          <w:b/>
          <w:bCs/>
          <w:sz w:val="32"/>
        </w:rPr>
        <w:lastRenderedPageBreak/>
        <w:t>Publication and Dissemination</w:t>
      </w:r>
      <w:bookmarkEnd w:id="336"/>
      <w:bookmarkEnd w:id="337"/>
      <w:bookmarkEnd w:id="338"/>
      <w:bookmarkEnd w:id="340"/>
      <w:r w:rsidRPr="00223A35">
        <w:rPr>
          <w:rFonts w:cs="Arial"/>
          <w:b/>
          <w:bCs/>
          <w:sz w:val="32"/>
        </w:rPr>
        <w:t xml:space="preserve"> </w:t>
      </w:r>
      <w:bookmarkEnd w:id="339"/>
    </w:p>
    <w:p w:rsidR="003B3B59" w:rsidRPr="003B3B59" w:rsidRDefault="003B3B59" w:rsidP="001C43B5">
      <w:pPr>
        <w:keepNext/>
        <w:numPr>
          <w:ilvl w:val="1"/>
          <w:numId w:val="15"/>
        </w:numPr>
        <w:spacing w:before="360" w:after="120" w:line="360" w:lineRule="auto"/>
        <w:jc w:val="both"/>
        <w:outlineLvl w:val="1"/>
        <w:rPr>
          <w:rFonts w:ascii="Arial" w:eastAsia="Times New Roman" w:hAnsi="Arial" w:cs="Times New Roman"/>
          <w:b/>
          <w:bCs/>
          <w:color w:val="000000"/>
          <w:sz w:val="28"/>
          <w:szCs w:val="21"/>
        </w:rPr>
      </w:pPr>
      <w:bookmarkStart w:id="341" w:name="_Toc32578552"/>
      <w:r w:rsidRPr="003B3B59">
        <w:rPr>
          <w:rFonts w:ascii="Arial" w:eastAsia="Times New Roman" w:hAnsi="Arial" w:cs="Times New Roman"/>
          <w:b/>
          <w:bCs/>
          <w:color w:val="000000"/>
          <w:sz w:val="28"/>
          <w:szCs w:val="21"/>
        </w:rPr>
        <w:t>Publication Policy</w:t>
      </w:r>
      <w:bookmarkEnd w:id="341"/>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rPr>
        <w:t>The results of the audit from different participating sites will be analysed together and published in the name of the audit as soon as possible, on behalf of all collaborators, maintaining participant confidentiality at all times. Individual clinicians must undertake not to submit any part of their individual data for publication without the prior consent of the Trial Management Group (TMG).</w:t>
      </w:r>
    </w:p>
    <w:p w:rsidR="003B3B59" w:rsidRPr="003B3B59" w:rsidRDefault="003B3B59" w:rsidP="001C43B5">
      <w:pPr>
        <w:spacing w:after="0" w:line="360" w:lineRule="auto"/>
        <w:jc w:val="both"/>
        <w:rPr>
          <w:rFonts w:ascii="Arial" w:eastAsia="Times New Roman" w:hAnsi="Arial" w:cs="Arial"/>
          <w:sz w:val="24"/>
        </w:rPr>
      </w:pPr>
    </w:p>
    <w:p w:rsidR="003B3B59" w:rsidRPr="003B3B59" w:rsidRDefault="003B3B59" w:rsidP="001C43B5">
      <w:pPr>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 xml:space="preserve">The TMG will form the basis of the writing committee and will advise on the nature of publications. The manuscript will be prepared by a writing group, appointed from amongst the TMG. The Uniform Requirements for Manuscripts Submitted to Biomedical Journals will be respected. The members of the TSC will be listed with their affiliations in the Acknowledgements/Appendix of the main publication. </w:t>
      </w:r>
    </w:p>
    <w:p w:rsidR="003B3B59" w:rsidRPr="003B3B59" w:rsidRDefault="003B3B59" w:rsidP="001C43B5">
      <w:pPr>
        <w:spacing w:after="0" w:line="360" w:lineRule="auto"/>
        <w:jc w:val="both"/>
        <w:rPr>
          <w:rFonts w:ascii="Arial" w:eastAsia="Times New Roman" w:hAnsi="Arial" w:cs="Arial"/>
          <w:sz w:val="24"/>
          <w:szCs w:val="24"/>
        </w:rPr>
      </w:pPr>
    </w:p>
    <w:p w:rsidR="003B3B59" w:rsidRPr="003B3B59" w:rsidRDefault="003B3B59" w:rsidP="001C43B5">
      <w:pPr>
        <w:spacing w:after="0" w:line="360" w:lineRule="auto"/>
        <w:jc w:val="both"/>
        <w:rPr>
          <w:rFonts w:ascii="Arial" w:eastAsia="Times New Roman" w:hAnsi="Arial" w:cs="Arial"/>
          <w:sz w:val="24"/>
        </w:rPr>
      </w:pPr>
      <w:r w:rsidRPr="003B3B59">
        <w:rPr>
          <w:rFonts w:ascii="Arial" w:eastAsia="Times New Roman" w:hAnsi="Arial" w:cs="Arial"/>
          <w:sz w:val="24"/>
          <w:szCs w:val="24"/>
        </w:rPr>
        <w:t xml:space="preserve">Any publications arising from this research will be reviewed appropriately prior to publication. </w:t>
      </w:r>
    </w:p>
    <w:p w:rsidR="003B3B59" w:rsidRPr="003B3B59" w:rsidRDefault="003B3B59" w:rsidP="001C43B5">
      <w:pPr>
        <w:keepNext/>
        <w:numPr>
          <w:ilvl w:val="1"/>
          <w:numId w:val="15"/>
        </w:numPr>
        <w:spacing w:before="360" w:after="120" w:line="360" w:lineRule="auto"/>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Authorship</w:t>
      </w:r>
    </w:p>
    <w:p w:rsidR="003B3B59" w:rsidRPr="003B3B59" w:rsidRDefault="003B3B59" w:rsidP="001C43B5">
      <w:pPr>
        <w:autoSpaceDE w:val="0"/>
        <w:autoSpaceDN w:val="0"/>
        <w:adjustRightInd w:val="0"/>
        <w:spacing w:after="0" w:line="360" w:lineRule="auto"/>
        <w:jc w:val="both"/>
        <w:rPr>
          <w:rFonts w:ascii="Arial" w:eastAsia="Times New Roman" w:hAnsi="Arial" w:cs="Arial"/>
          <w:sz w:val="24"/>
          <w:szCs w:val="24"/>
        </w:rPr>
      </w:pPr>
      <w:r w:rsidRPr="003B3B59">
        <w:rPr>
          <w:rFonts w:ascii="Arial" w:eastAsia="Times New Roman" w:hAnsi="Arial" w:cs="Arial"/>
          <w:sz w:val="24"/>
          <w:szCs w:val="24"/>
        </w:rPr>
        <w:t>Contributors to all four of (i) the design, conduct, data analysis and interpretation, (ii) writing, (iii) manuscript approval and (iv) accountability for the integrity of the work will, depending on their contribution and journal requirements, be included by name at the manuscript head or listed at the end in a by-line as members of the PRIMROSE Consortium which will also be named at the manuscript head.</w:t>
      </w:r>
    </w:p>
    <w:p w:rsidR="003B3B59" w:rsidRPr="003B3B59" w:rsidRDefault="003B3B59" w:rsidP="001C43B5">
      <w:pPr>
        <w:keepNext/>
        <w:numPr>
          <w:ilvl w:val="1"/>
          <w:numId w:val="15"/>
        </w:numPr>
        <w:spacing w:before="360" w:after="120" w:line="360" w:lineRule="auto"/>
        <w:jc w:val="both"/>
        <w:outlineLvl w:val="1"/>
        <w:rPr>
          <w:rFonts w:ascii="Arial" w:eastAsia="Times New Roman" w:hAnsi="Arial" w:cs="Times New Roman"/>
          <w:b/>
          <w:bCs/>
          <w:color w:val="000000"/>
          <w:sz w:val="28"/>
          <w:szCs w:val="21"/>
        </w:rPr>
      </w:pPr>
      <w:bookmarkStart w:id="342" w:name="_Toc32578554"/>
      <w:r w:rsidRPr="003B3B59">
        <w:rPr>
          <w:rFonts w:ascii="Arial" w:eastAsia="Times New Roman" w:hAnsi="Arial" w:cs="Times New Roman"/>
          <w:b/>
          <w:bCs/>
          <w:color w:val="000000"/>
          <w:sz w:val="28"/>
          <w:szCs w:val="21"/>
        </w:rPr>
        <w:t>Dissemination to Key Stakeholders</w:t>
      </w:r>
      <w:bookmarkEnd w:id="342"/>
    </w:p>
    <w:p w:rsidR="003B3B59" w:rsidRPr="003B3B59" w:rsidRDefault="003B3B59" w:rsidP="001C43B5">
      <w:pPr>
        <w:spacing w:after="0" w:line="360" w:lineRule="auto"/>
        <w:jc w:val="both"/>
        <w:rPr>
          <w:rFonts w:ascii="Arial" w:eastAsia="Times New Roman" w:hAnsi="Arial" w:cs="Times New Roman"/>
          <w:iCs/>
          <w:sz w:val="24"/>
          <w:szCs w:val="20"/>
        </w:rPr>
      </w:pPr>
      <w:r w:rsidRPr="003B3B59">
        <w:rPr>
          <w:rFonts w:ascii="Arial" w:eastAsia="Times New Roman" w:hAnsi="Arial" w:cs="Times New Roman"/>
          <w:iCs/>
          <w:sz w:val="24"/>
          <w:szCs w:val="20"/>
        </w:rPr>
        <w:t xml:space="preserve">On completion of the research, a Final Report will be prepared and submitted to Daiichi Sankyo Europe GmBH in accordance with the stipulated guidance in the grant letter. </w:t>
      </w:r>
      <w:r>
        <w:rPr>
          <w:rFonts w:ascii="Arial" w:eastAsia="Times New Roman" w:hAnsi="Arial" w:cs="Times New Roman"/>
          <w:iCs/>
          <w:sz w:val="24"/>
          <w:szCs w:val="20"/>
        </w:rPr>
        <w:t xml:space="preserve">Any results resulting from this audit </w:t>
      </w:r>
      <w:r w:rsidRPr="003B3B59">
        <w:rPr>
          <w:rFonts w:ascii="Arial" w:eastAsia="Times New Roman" w:hAnsi="Arial" w:cs="Times New Roman"/>
          <w:iCs/>
          <w:sz w:val="24"/>
          <w:szCs w:val="20"/>
        </w:rPr>
        <w:t>will be published regardless of the magnitude or direction of effect.</w:t>
      </w:r>
    </w:p>
    <w:p w:rsidR="003B3B59" w:rsidRPr="003B3B59" w:rsidRDefault="003B3B59" w:rsidP="001C43B5">
      <w:pPr>
        <w:keepNext/>
        <w:numPr>
          <w:ilvl w:val="1"/>
          <w:numId w:val="15"/>
        </w:numPr>
        <w:spacing w:before="360" w:after="120" w:line="360" w:lineRule="auto"/>
        <w:jc w:val="both"/>
        <w:outlineLvl w:val="1"/>
        <w:rPr>
          <w:rFonts w:ascii="Arial" w:eastAsia="Times New Roman" w:hAnsi="Arial" w:cs="Times New Roman"/>
          <w:b/>
          <w:bCs/>
          <w:color w:val="000000"/>
          <w:sz w:val="28"/>
          <w:szCs w:val="21"/>
        </w:rPr>
      </w:pPr>
      <w:bookmarkStart w:id="343" w:name="_Toc32578555"/>
      <w:r w:rsidRPr="003B3B59">
        <w:rPr>
          <w:rFonts w:ascii="Arial" w:eastAsia="Times New Roman" w:hAnsi="Arial" w:cs="Times New Roman"/>
          <w:b/>
          <w:bCs/>
          <w:color w:val="000000"/>
          <w:sz w:val="28"/>
          <w:szCs w:val="21"/>
        </w:rPr>
        <w:t>Data Sharing</w:t>
      </w:r>
      <w:bookmarkEnd w:id="343"/>
    </w:p>
    <w:p w:rsidR="003B3B59" w:rsidRPr="003B3B59" w:rsidRDefault="003B3B59" w:rsidP="001C43B5">
      <w:pPr>
        <w:spacing w:after="0" w:line="360" w:lineRule="auto"/>
        <w:jc w:val="both"/>
        <w:rPr>
          <w:rFonts w:ascii="Arial" w:eastAsia="Times New Roman" w:hAnsi="Arial" w:cs="Arial"/>
          <w:b/>
          <w:bCs/>
          <w:i/>
          <w:iCs/>
          <w:caps/>
          <w:sz w:val="28"/>
          <w:szCs w:val="28"/>
        </w:rPr>
      </w:pPr>
      <w:r w:rsidRPr="003B3B59">
        <w:rPr>
          <w:rFonts w:ascii="Arial" w:eastAsia="Times New Roman" w:hAnsi="Arial" w:cs="Times New Roman"/>
          <w:iCs/>
          <w:sz w:val="24"/>
          <w:szCs w:val="20"/>
        </w:rPr>
        <w:t xml:space="preserve">At the end of this audit study, after the primary results have been published, the anonymised individual participant data (IPD) and associated documentation (e.g. protocol, statistical analysis plan, annotated blank CRF) will be prepared in order to be shared with external researchers. All requests for access to the IPD will be reviewed by an internal committee at the CTU and discussed </w:t>
      </w:r>
      <w:r w:rsidRPr="003B3B59">
        <w:rPr>
          <w:rFonts w:ascii="Arial" w:eastAsia="Times New Roman" w:hAnsi="Arial" w:cs="Times New Roman"/>
          <w:iCs/>
          <w:sz w:val="24"/>
          <w:szCs w:val="20"/>
        </w:rPr>
        <w:lastRenderedPageBreak/>
        <w:t xml:space="preserve">with the Chief Investigator in accordance with the CTU policy on data sharing. As this is an Audit intended to function as a databank, the appropriate ethical processes will be followed should external researchers request use of the data. </w:t>
      </w:r>
    </w:p>
    <w:p w:rsidR="003B3B59" w:rsidRPr="003B3B59" w:rsidRDefault="003B3B59" w:rsidP="001C43B5">
      <w:pPr>
        <w:autoSpaceDE w:val="0"/>
        <w:autoSpaceDN w:val="0"/>
        <w:adjustRightInd w:val="0"/>
        <w:spacing w:after="0" w:line="360" w:lineRule="auto"/>
        <w:jc w:val="both"/>
        <w:rPr>
          <w:rFonts w:ascii="Arial" w:eastAsia="Times New Roman" w:hAnsi="Arial" w:cs="Arial"/>
          <w:color w:val="0000FF"/>
          <w:sz w:val="21"/>
          <w:szCs w:val="21"/>
          <w:highlight w:val="cyan"/>
        </w:rPr>
      </w:pPr>
    </w:p>
    <w:p w:rsidR="003B3B59" w:rsidRPr="00223A35" w:rsidRDefault="003B3B59" w:rsidP="001C43B5">
      <w:pPr>
        <w:pStyle w:val="ListParagraph"/>
        <w:keepNext/>
        <w:pageBreakBefore/>
        <w:numPr>
          <w:ilvl w:val="5"/>
          <w:numId w:val="19"/>
        </w:numPr>
        <w:spacing w:after="360" w:line="360" w:lineRule="auto"/>
        <w:ind w:left="851" w:hanging="851"/>
        <w:outlineLvl w:val="0"/>
        <w:rPr>
          <w:rFonts w:cs="Arial"/>
          <w:b/>
          <w:bCs/>
          <w:sz w:val="32"/>
        </w:rPr>
      </w:pPr>
      <w:bookmarkStart w:id="344" w:name="_Toc32578556"/>
      <w:bookmarkStart w:id="345" w:name="_Toc38877248"/>
      <w:bookmarkStart w:id="346" w:name="_Toc42020757"/>
      <w:bookmarkStart w:id="347" w:name="_Toc42077794"/>
      <w:bookmarkStart w:id="348" w:name="_Toc44574209"/>
      <w:r w:rsidRPr="00223A35">
        <w:rPr>
          <w:rFonts w:cs="Arial"/>
          <w:b/>
          <w:bCs/>
          <w:sz w:val="32"/>
        </w:rPr>
        <w:lastRenderedPageBreak/>
        <w:t>Chronology of Protocol Amendments</w:t>
      </w:r>
      <w:bookmarkEnd w:id="344"/>
      <w:bookmarkEnd w:id="345"/>
      <w:bookmarkEnd w:id="346"/>
      <w:bookmarkEnd w:id="347"/>
      <w:bookmarkEnd w:id="348"/>
    </w:p>
    <w:p w:rsidR="003B3B59" w:rsidRPr="003B3B59" w:rsidRDefault="003B3B59" w:rsidP="001C43B5">
      <w:pPr>
        <w:keepNext/>
        <w:spacing w:before="360" w:after="120" w:line="360" w:lineRule="auto"/>
        <w:jc w:val="both"/>
        <w:outlineLvl w:val="1"/>
        <w:rPr>
          <w:rFonts w:ascii="Arial" w:eastAsia="Times New Roman" w:hAnsi="Arial" w:cs="Times New Roman"/>
          <w:b/>
          <w:bCs/>
          <w:color w:val="000000"/>
          <w:sz w:val="28"/>
          <w:szCs w:val="21"/>
        </w:rPr>
      </w:pPr>
      <w:r w:rsidRPr="003B3B59">
        <w:rPr>
          <w:rFonts w:ascii="Arial" w:eastAsia="Times New Roman" w:hAnsi="Arial" w:cs="Times New Roman"/>
          <w:b/>
          <w:bCs/>
          <w:color w:val="000000"/>
          <w:sz w:val="28"/>
          <w:szCs w:val="21"/>
        </w:rPr>
        <w:t>Version 1.0 (</w:t>
      </w:r>
      <w:r w:rsidR="005E7B5C">
        <w:rPr>
          <w:rFonts w:ascii="Arial" w:eastAsia="Times New Roman" w:hAnsi="Arial" w:cs="Times New Roman"/>
          <w:b/>
          <w:bCs/>
          <w:color w:val="000000"/>
          <w:sz w:val="28"/>
          <w:szCs w:val="21"/>
        </w:rPr>
        <w:t>02/Jul/2020</w:t>
      </w:r>
      <w:r w:rsidRPr="003B3B59">
        <w:rPr>
          <w:rFonts w:ascii="Arial" w:eastAsia="Times New Roman" w:hAnsi="Arial" w:cs="Times New Roman"/>
          <w:b/>
          <w:bCs/>
          <w:color w:val="000000"/>
          <w:sz w:val="28"/>
          <w:szCs w:val="21"/>
        </w:rPr>
        <w:t>)</w:t>
      </w:r>
    </w:p>
    <w:p w:rsidR="003B3B59" w:rsidRPr="003B3B59" w:rsidRDefault="003B3B59" w:rsidP="001C43B5">
      <w:pPr>
        <w:spacing w:after="0" w:line="360" w:lineRule="auto"/>
        <w:jc w:val="both"/>
        <w:rPr>
          <w:rFonts w:ascii="Arial" w:eastAsia="Times New Roman" w:hAnsi="Arial" w:cs="Times New Roman"/>
          <w:sz w:val="24"/>
          <w:szCs w:val="24"/>
        </w:rPr>
        <w:sectPr w:rsidR="003B3B59" w:rsidRPr="003B3B59" w:rsidSect="003B3B59">
          <w:headerReference w:type="default" r:id="rId16"/>
          <w:footerReference w:type="default" r:id="rId17"/>
          <w:pgSz w:w="11906" w:h="16838" w:code="9"/>
          <w:pgMar w:top="720" w:right="720" w:bottom="720" w:left="720" w:header="567" w:footer="284" w:gutter="0"/>
          <w:cols w:space="708"/>
          <w:docGrid w:linePitch="360"/>
        </w:sectPr>
      </w:pPr>
      <w:r w:rsidRPr="003B3B59">
        <w:rPr>
          <w:rFonts w:ascii="Arial" w:eastAsia="Times New Roman" w:hAnsi="Arial" w:cs="Times New Roman"/>
          <w:sz w:val="24"/>
          <w:szCs w:val="24"/>
        </w:rPr>
        <w:t>Original Approved Versio</w:t>
      </w:r>
      <w:r w:rsidR="00066D68">
        <w:rPr>
          <w:rFonts w:ascii="Arial" w:eastAsia="Times New Roman" w:hAnsi="Arial" w:cs="Times New Roman"/>
          <w:sz w:val="24"/>
          <w:szCs w:val="24"/>
        </w:rPr>
        <w:t>n</w:t>
      </w:r>
    </w:p>
    <w:p w:rsidR="003B3B59" w:rsidRPr="00223A35" w:rsidRDefault="003B3B59" w:rsidP="001C43B5">
      <w:pPr>
        <w:pStyle w:val="ListParagraph"/>
        <w:keepNext/>
        <w:pageBreakBefore/>
        <w:numPr>
          <w:ilvl w:val="5"/>
          <w:numId w:val="19"/>
        </w:numPr>
        <w:spacing w:after="360" w:line="360" w:lineRule="auto"/>
        <w:ind w:left="567" w:hanging="567"/>
        <w:outlineLvl w:val="0"/>
        <w:rPr>
          <w:rFonts w:cs="Arial"/>
          <w:b/>
          <w:bCs/>
          <w:sz w:val="32"/>
        </w:rPr>
      </w:pPr>
      <w:bookmarkStart w:id="349" w:name="_Toc44574210"/>
      <w:r w:rsidRPr="00223A35">
        <w:rPr>
          <w:rFonts w:cs="Arial"/>
          <w:b/>
          <w:bCs/>
          <w:sz w:val="32"/>
        </w:rPr>
        <w:lastRenderedPageBreak/>
        <w:t>References</w:t>
      </w:r>
      <w:bookmarkEnd w:id="349"/>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sz w:val="24"/>
          <w:szCs w:val="24"/>
        </w:rPr>
        <w:fldChar w:fldCharType="begin" w:fldLock="1"/>
      </w:r>
      <w:r w:rsidRPr="00663721">
        <w:rPr>
          <w:rFonts w:ascii="Arial" w:hAnsi="Arial" w:cs="Arial"/>
          <w:sz w:val="24"/>
          <w:szCs w:val="24"/>
        </w:rPr>
        <w:instrText xml:space="preserve">ADDIN Mendeley Bibliography CSL_BIBLIOGRAPHY </w:instrText>
      </w:r>
      <w:r w:rsidRPr="00663721">
        <w:rPr>
          <w:rFonts w:ascii="Arial" w:hAnsi="Arial" w:cs="Arial"/>
          <w:sz w:val="24"/>
          <w:szCs w:val="24"/>
        </w:rPr>
        <w:fldChar w:fldCharType="separate"/>
      </w:r>
      <w:r w:rsidRPr="00663721">
        <w:rPr>
          <w:rFonts w:ascii="Arial" w:hAnsi="Arial" w:cs="Arial"/>
          <w:noProof/>
          <w:sz w:val="24"/>
          <w:szCs w:val="24"/>
        </w:rPr>
        <w:t xml:space="preserve">1. </w:t>
      </w:r>
      <w:r w:rsidRPr="00663721">
        <w:rPr>
          <w:rFonts w:ascii="Arial" w:hAnsi="Arial" w:cs="Arial"/>
          <w:noProof/>
          <w:sz w:val="24"/>
          <w:szCs w:val="24"/>
        </w:rPr>
        <w:tab/>
        <w:t xml:space="preserve">Nayak L, Lee EQ, Wen PY. Epidemiology of brain metastases. </w:t>
      </w:r>
      <w:r w:rsidRPr="00663721">
        <w:rPr>
          <w:rFonts w:ascii="Arial" w:hAnsi="Arial" w:cs="Arial"/>
          <w:i/>
          <w:iCs/>
          <w:noProof/>
          <w:sz w:val="24"/>
          <w:szCs w:val="24"/>
        </w:rPr>
        <w:t>Curr Oncol Rep</w:t>
      </w:r>
      <w:r w:rsidRPr="00663721">
        <w:rPr>
          <w:rFonts w:ascii="Arial" w:hAnsi="Arial" w:cs="Arial"/>
          <w:noProof/>
          <w:sz w:val="24"/>
          <w:szCs w:val="24"/>
        </w:rPr>
        <w:t>. 2012;14(1):48-54.</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2. </w:t>
      </w:r>
      <w:r w:rsidRPr="00663721">
        <w:rPr>
          <w:rFonts w:ascii="Arial" w:hAnsi="Arial" w:cs="Arial"/>
          <w:noProof/>
          <w:sz w:val="24"/>
          <w:szCs w:val="24"/>
        </w:rPr>
        <w:tab/>
        <w:t xml:space="preserve">Witzel I, Oliveira-Ferrer L, Pantel K, Muller V, Wikman H. Breast cancer brain metastases: biology and new clinical perspectives. </w:t>
      </w:r>
      <w:r w:rsidRPr="00663721">
        <w:rPr>
          <w:rFonts w:ascii="Arial" w:hAnsi="Arial" w:cs="Arial"/>
          <w:i/>
          <w:iCs/>
          <w:noProof/>
          <w:sz w:val="24"/>
          <w:szCs w:val="24"/>
        </w:rPr>
        <w:t>Breast Cancer Res</w:t>
      </w:r>
      <w:r w:rsidRPr="00663721">
        <w:rPr>
          <w:rFonts w:ascii="Arial" w:hAnsi="Arial" w:cs="Arial"/>
          <w:noProof/>
          <w:sz w:val="24"/>
          <w:szCs w:val="24"/>
        </w:rPr>
        <w:t>. 2016;18(1):8. doi:10.1186/s13058-015-0665-1</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3. </w:t>
      </w:r>
      <w:r w:rsidRPr="00663721">
        <w:rPr>
          <w:rFonts w:ascii="Arial" w:hAnsi="Arial" w:cs="Arial"/>
          <w:noProof/>
          <w:sz w:val="24"/>
          <w:szCs w:val="24"/>
        </w:rPr>
        <w:tab/>
        <w:t xml:space="preserve">Mills MN, Figura NB, Arrington JA, et al. Management of brain metastases in breast cancer: a review of current practices and emerging treatments. </w:t>
      </w:r>
      <w:r w:rsidRPr="00663721">
        <w:rPr>
          <w:rFonts w:ascii="Arial" w:hAnsi="Arial" w:cs="Arial"/>
          <w:i/>
          <w:iCs/>
          <w:noProof/>
          <w:sz w:val="24"/>
          <w:szCs w:val="24"/>
        </w:rPr>
        <w:t>Breast Cancer Res Treat</w:t>
      </w:r>
      <w:r w:rsidRPr="00663721">
        <w:rPr>
          <w:rFonts w:ascii="Arial" w:hAnsi="Arial" w:cs="Arial"/>
          <w:noProof/>
          <w:sz w:val="24"/>
          <w:szCs w:val="24"/>
        </w:rPr>
        <w:t>. 2020;180(2):279-300. doi:10.1007/s10549-020-05552-2</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4. </w:t>
      </w:r>
      <w:r w:rsidRPr="00663721">
        <w:rPr>
          <w:rFonts w:ascii="Arial" w:hAnsi="Arial" w:cs="Arial"/>
          <w:noProof/>
          <w:sz w:val="24"/>
          <w:szCs w:val="24"/>
        </w:rPr>
        <w:tab/>
        <w:t xml:space="preserve">Soffietti R, Abacioglu U, Baumert B, et al. Diagnosis and treatment of brain metastases from solid tumors: guidelines from the European Association of Neuro-Oncology (EANO). </w:t>
      </w:r>
      <w:r w:rsidRPr="00663721">
        <w:rPr>
          <w:rFonts w:ascii="Arial" w:hAnsi="Arial" w:cs="Arial"/>
          <w:i/>
          <w:iCs/>
          <w:noProof/>
          <w:sz w:val="24"/>
          <w:szCs w:val="24"/>
        </w:rPr>
        <w:t>Neuro Oncol</w:t>
      </w:r>
      <w:r w:rsidRPr="00663721">
        <w:rPr>
          <w:rFonts w:ascii="Arial" w:hAnsi="Arial" w:cs="Arial"/>
          <w:noProof/>
          <w:sz w:val="24"/>
          <w:szCs w:val="24"/>
        </w:rPr>
        <w:t>. 2017;19(2):162-174. doi:10.1093/neuonc/now241</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5. </w:t>
      </w:r>
      <w:r w:rsidRPr="00663721">
        <w:rPr>
          <w:rFonts w:ascii="Arial" w:hAnsi="Arial" w:cs="Arial"/>
          <w:noProof/>
          <w:sz w:val="24"/>
          <w:szCs w:val="24"/>
        </w:rPr>
        <w:tab/>
        <w:t xml:space="preserve">Lim E, Lin NU. Current Treatment Strategies for Breast Cancer Brain Metastases. </w:t>
      </w:r>
      <w:r w:rsidRPr="00663721">
        <w:rPr>
          <w:rFonts w:ascii="Arial" w:hAnsi="Arial" w:cs="Arial"/>
          <w:i/>
          <w:iCs/>
          <w:noProof/>
          <w:sz w:val="24"/>
          <w:szCs w:val="24"/>
        </w:rPr>
        <w:t>C2ancerNetwork</w:t>
      </w:r>
      <w:r w:rsidRPr="00663721">
        <w:rPr>
          <w:rFonts w:ascii="Arial" w:hAnsi="Arial" w:cs="Arial"/>
          <w:noProof/>
          <w:sz w:val="24"/>
          <w:szCs w:val="24"/>
        </w:rPr>
        <w:t>. 2012;26(7).</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6. </w:t>
      </w:r>
      <w:r w:rsidRPr="00663721">
        <w:rPr>
          <w:rFonts w:ascii="Arial" w:hAnsi="Arial" w:cs="Arial"/>
          <w:noProof/>
          <w:sz w:val="24"/>
          <w:szCs w:val="24"/>
        </w:rPr>
        <w:tab/>
        <w:t xml:space="preserve">Lin NU. Breast cancer brain metastases: new directions in systemic therapy. </w:t>
      </w:r>
      <w:r w:rsidRPr="00663721">
        <w:rPr>
          <w:rFonts w:ascii="Arial" w:hAnsi="Arial" w:cs="Arial"/>
          <w:i/>
          <w:iCs/>
          <w:noProof/>
          <w:sz w:val="24"/>
          <w:szCs w:val="24"/>
        </w:rPr>
        <w:t>E Cancer Med Sci</w:t>
      </w:r>
      <w:r w:rsidRPr="00663721">
        <w:rPr>
          <w:rFonts w:ascii="Arial" w:hAnsi="Arial" w:cs="Arial"/>
          <w:noProof/>
          <w:sz w:val="24"/>
          <w:szCs w:val="24"/>
        </w:rPr>
        <w:t>. 2013;7:307. doi:10.3332/ecancer.2013.307</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7. </w:t>
      </w:r>
      <w:r w:rsidRPr="00663721">
        <w:rPr>
          <w:rFonts w:ascii="Arial" w:hAnsi="Arial" w:cs="Arial"/>
          <w:noProof/>
          <w:sz w:val="24"/>
          <w:szCs w:val="24"/>
        </w:rPr>
        <w:tab/>
        <w:t xml:space="preserve">Scott BJ, Kesari S. Leptomeningeal metastases in breast cancer. </w:t>
      </w:r>
      <w:r w:rsidRPr="00663721">
        <w:rPr>
          <w:rFonts w:ascii="Arial" w:hAnsi="Arial" w:cs="Arial"/>
          <w:i/>
          <w:iCs/>
          <w:noProof/>
          <w:sz w:val="24"/>
          <w:szCs w:val="24"/>
        </w:rPr>
        <w:t>Am J Cancer Res</w:t>
      </w:r>
      <w:r w:rsidRPr="00663721">
        <w:rPr>
          <w:rFonts w:ascii="Arial" w:hAnsi="Arial" w:cs="Arial"/>
          <w:noProof/>
          <w:sz w:val="24"/>
          <w:szCs w:val="24"/>
        </w:rPr>
        <w:t>. 2013;3(2):117-126.</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8. </w:t>
      </w:r>
      <w:r w:rsidRPr="00663721">
        <w:rPr>
          <w:rFonts w:ascii="Arial" w:hAnsi="Arial" w:cs="Arial"/>
          <w:noProof/>
          <w:sz w:val="24"/>
          <w:szCs w:val="24"/>
        </w:rPr>
        <w:tab/>
        <w:t xml:space="preserve">Le Rhun E, Weller M, Brandsma D, et al. EANO-ESMO Clinical Practice Guidelines for diagnosis, treatment and follow-up of  patients with leptomeningeal metastasis from solid tumours. </w:t>
      </w:r>
      <w:r w:rsidRPr="00663721">
        <w:rPr>
          <w:rFonts w:ascii="Arial" w:hAnsi="Arial" w:cs="Arial"/>
          <w:i/>
          <w:iCs/>
          <w:noProof/>
          <w:sz w:val="24"/>
          <w:szCs w:val="24"/>
        </w:rPr>
        <w:t>Ann Oncol  Off J Eur Soc Med Oncol</w:t>
      </w:r>
      <w:r w:rsidRPr="00663721">
        <w:rPr>
          <w:rFonts w:ascii="Arial" w:hAnsi="Arial" w:cs="Arial"/>
          <w:noProof/>
          <w:sz w:val="24"/>
          <w:szCs w:val="24"/>
        </w:rPr>
        <w:t>. 2017;28(suppl_4):iv84-iv99. doi:10.1093/annonc/mdx221</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9. </w:t>
      </w:r>
      <w:r w:rsidRPr="00663721">
        <w:rPr>
          <w:rFonts w:ascii="Arial" w:hAnsi="Arial" w:cs="Arial"/>
          <w:noProof/>
          <w:sz w:val="24"/>
          <w:szCs w:val="24"/>
        </w:rPr>
        <w:tab/>
        <w:t xml:space="preserve">Shapiro WR, Johanson CE, Boogerd W. Treatment modalities for leptomeningeal metastases. </w:t>
      </w:r>
      <w:r w:rsidRPr="00663721">
        <w:rPr>
          <w:rFonts w:ascii="Arial" w:hAnsi="Arial" w:cs="Arial"/>
          <w:i/>
          <w:iCs/>
          <w:noProof/>
          <w:sz w:val="24"/>
          <w:szCs w:val="24"/>
        </w:rPr>
        <w:t>Semin Oncol</w:t>
      </w:r>
      <w:r w:rsidRPr="00663721">
        <w:rPr>
          <w:rFonts w:ascii="Arial" w:hAnsi="Arial" w:cs="Arial"/>
          <w:noProof/>
          <w:sz w:val="24"/>
          <w:szCs w:val="24"/>
        </w:rPr>
        <w:t>. 2009;36(4 Suppl 2):S46-54. doi:10.1053/j.seminoncol.2009.05.006</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10. </w:t>
      </w:r>
      <w:r w:rsidRPr="00663721">
        <w:rPr>
          <w:rFonts w:ascii="Arial" w:hAnsi="Arial" w:cs="Arial"/>
          <w:noProof/>
          <w:sz w:val="24"/>
          <w:szCs w:val="24"/>
        </w:rPr>
        <w:tab/>
        <w:t xml:space="preserve">Beauchesne P. Intrathecal chemotherapy for treatment of leptomeningeal dissemination of metastatic tumours. </w:t>
      </w:r>
      <w:r w:rsidRPr="00663721">
        <w:rPr>
          <w:rFonts w:ascii="Arial" w:hAnsi="Arial" w:cs="Arial"/>
          <w:i/>
          <w:iCs/>
          <w:noProof/>
          <w:sz w:val="24"/>
          <w:szCs w:val="24"/>
        </w:rPr>
        <w:t>Lancet Oncol</w:t>
      </w:r>
      <w:r w:rsidRPr="00663721">
        <w:rPr>
          <w:rFonts w:ascii="Arial" w:hAnsi="Arial" w:cs="Arial"/>
          <w:noProof/>
          <w:sz w:val="24"/>
          <w:szCs w:val="24"/>
        </w:rPr>
        <w:t>. 2010;11(9):871-879. doi:10.1016/S1470-2045(10)70034-6</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lastRenderedPageBreak/>
        <w:t xml:space="preserve">11. </w:t>
      </w:r>
      <w:r w:rsidRPr="00663721">
        <w:rPr>
          <w:rFonts w:ascii="Arial" w:hAnsi="Arial" w:cs="Arial"/>
          <w:noProof/>
          <w:sz w:val="24"/>
          <w:szCs w:val="24"/>
        </w:rPr>
        <w:tab/>
        <w:t xml:space="preserve">Scott BJ, Oberheim-Bush NA, Kesari S. Leptomeningeal metastasis in breast cancer - a systematic review. </w:t>
      </w:r>
      <w:r w:rsidRPr="00663721">
        <w:rPr>
          <w:rFonts w:ascii="Arial" w:hAnsi="Arial" w:cs="Arial"/>
          <w:i/>
          <w:iCs/>
          <w:noProof/>
          <w:sz w:val="24"/>
          <w:szCs w:val="24"/>
        </w:rPr>
        <w:t>Oncotarget</w:t>
      </w:r>
      <w:r w:rsidRPr="00663721">
        <w:rPr>
          <w:rFonts w:ascii="Arial" w:hAnsi="Arial" w:cs="Arial"/>
          <w:noProof/>
          <w:sz w:val="24"/>
          <w:szCs w:val="24"/>
        </w:rPr>
        <w:t>. 2016;7(4):3740-3747. doi:10.18632/oncotarget.5911</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12. </w:t>
      </w:r>
      <w:r w:rsidRPr="00663721">
        <w:rPr>
          <w:rFonts w:ascii="Arial" w:hAnsi="Arial" w:cs="Arial"/>
          <w:noProof/>
          <w:sz w:val="24"/>
          <w:szCs w:val="24"/>
        </w:rPr>
        <w:tab/>
        <w:t xml:space="preserve">Murphy BL, Zalewski NL, Degnim AC, et al. Breast cancer-related paraneoplastic neurologic disease. </w:t>
      </w:r>
      <w:r w:rsidRPr="00663721">
        <w:rPr>
          <w:rFonts w:ascii="Arial" w:hAnsi="Arial" w:cs="Arial"/>
          <w:i/>
          <w:iCs/>
          <w:noProof/>
          <w:sz w:val="24"/>
          <w:szCs w:val="24"/>
        </w:rPr>
        <w:t>Breast Cancer Res Treat</w:t>
      </w:r>
      <w:r w:rsidRPr="00663721">
        <w:rPr>
          <w:rFonts w:ascii="Arial" w:hAnsi="Arial" w:cs="Arial"/>
          <w:noProof/>
          <w:sz w:val="24"/>
          <w:szCs w:val="24"/>
        </w:rPr>
        <w:t>. 2018;167(3):771-778. doi:10.1007/s10549-017-4566-0</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13. </w:t>
      </w:r>
      <w:r w:rsidRPr="00663721">
        <w:rPr>
          <w:rFonts w:ascii="Arial" w:hAnsi="Arial" w:cs="Arial"/>
          <w:noProof/>
          <w:sz w:val="24"/>
          <w:szCs w:val="24"/>
        </w:rPr>
        <w:tab/>
        <w:t xml:space="preserve">Fanous I, Dillon P. Paraneoplastic neurological complications of breast cancer. </w:t>
      </w:r>
      <w:r w:rsidRPr="00663721">
        <w:rPr>
          <w:rFonts w:ascii="Arial" w:hAnsi="Arial" w:cs="Arial"/>
          <w:i/>
          <w:iCs/>
          <w:noProof/>
          <w:sz w:val="24"/>
          <w:szCs w:val="24"/>
        </w:rPr>
        <w:t>Exp Hematol Oncol</w:t>
      </w:r>
      <w:r w:rsidRPr="00663721">
        <w:rPr>
          <w:rFonts w:ascii="Arial" w:hAnsi="Arial" w:cs="Arial"/>
          <w:noProof/>
          <w:sz w:val="24"/>
          <w:szCs w:val="24"/>
        </w:rPr>
        <w:t>. 2015;5:29. doi:10.1186/s40164-016-0058-x</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14. </w:t>
      </w:r>
      <w:r w:rsidRPr="00663721">
        <w:rPr>
          <w:rFonts w:ascii="Arial" w:hAnsi="Arial" w:cs="Arial"/>
          <w:noProof/>
          <w:sz w:val="24"/>
          <w:szCs w:val="24"/>
        </w:rPr>
        <w:tab/>
        <w:t xml:space="preserve">Storstein A, Vedeler CA. Paraneoplastic neurological syndromes and onconeural antibodies: clinical and immunological aspects. </w:t>
      </w:r>
      <w:r w:rsidRPr="00663721">
        <w:rPr>
          <w:rFonts w:ascii="Arial" w:hAnsi="Arial" w:cs="Arial"/>
          <w:i/>
          <w:iCs/>
          <w:noProof/>
          <w:sz w:val="24"/>
          <w:szCs w:val="24"/>
        </w:rPr>
        <w:t>Adv Clin Chem</w:t>
      </w:r>
      <w:r w:rsidRPr="00663721">
        <w:rPr>
          <w:rFonts w:ascii="Arial" w:hAnsi="Arial" w:cs="Arial"/>
          <w:noProof/>
          <w:sz w:val="24"/>
          <w:szCs w:val="24"/>
        </w:rPr>
        <w:t>. 2007;44:143-185. doi:10.1016/s0065-2423(07)44005-7</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15. </w:t>
      </w:r>
      <w:r w:rsidRPr="00663721">
        <w:rPr>
          <w:rFonts w:ascii="Arial" w:hAnsi="Arial" w:cs="Arial"/>
          <w:noProof/>
          <w:sz w:val="24"/>
          <w:szCs w:val="24"/>
        </w:rPr>
        <w:tab/>
        <w:t xml:space="preserve">Skeie GO, Apostolski S, Evoli A, et al. Guidelines for treatment of autoimmune neuromuscular transmission disorders. </w:t>
      </w:r>
      <w:r w:rsidRPr="00663721">
        <w:rPr>
          <w:rFonts w:ascii="Arial" w:hAnsi="Arial" w:cs="Arial"/>
          <w:i/>
          <w:iCs/>
          <w:noProof/>
          <w:sz w:val="24"/>
          <w:szCs w:val="24"/>
        </w:rPr>
        <w:t>Eur J Neurol</w:t>
      </w:r>
      <w:r w:rsidRPr="00663721">
        <w:rPr>
          <w:rFonts w:ascii="Arial" w:hAnsi="Arial" w:cs="Arial"/>
          <w:noProof/>
          <w:sz w:val="24"/>
          <w:szCs w:val="24"/>
        </w:rPr>
        <w:t>. 2010;17(7):893-902. doi:10.1111/j.1468-1331.2010.03019.x</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16. </w:t>
      </w:r>
      <w:r w:rsidRPr="00663721">
        <w:rPr>
          <w:rFonts w:ascii="Arial" w:hAnsi="Arial" w:cs="Arial"/>
          <w:noProof/>
          <w:sz w:val="24"/>
          <w:szCs w:val="24"/>
        </w:rPr>
        <w:tab/>
        <w:t xml:space="preserve">Keogh M, Sedehizadeh S, Maddison P. Treatment for Lambert-Eaton myasthenic syndrome. </w:t>
      </w:r>
      <w:r w:rsidRPr="00663721">
        <w:rPr>
          <w:rFonts w:ascii="Arial" w:hAnsi="Arial" w:cs="Arial"/>
          <w:i/>
          <w:iCs/>
          <w:noProof/>
          <w:sz w:val="24"/>
          <w:szCs w:val="24"/>
        </w:rPr>
        <w:t>Cochrane database Syst Rev</w:t>
      </w:r>
      <w:r w:rsidRPr="00663721">
        <w:rPr>
          <w:rFonts w:ascii="Arial" w:hAnsi="Arial" w:cs="Arial"/>
          <w:noProof/>
          <w:sz w:val="24"/>
          <w:szCs w:val="24"/>
        </w:rPr>
        <w:t>. 2011;(2):CD003279. doi:10.1002/14651858.CD003279.pub3</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17. </w:t>
      </w:r>
      <w:r w:rsidRPr="00663721">
        <w:rPr>
          <w:rFonts w:ascii="Arial" w:hAnsi="Arial" w:cs="Arial"/>
          <w:noProof/>
          <w:sz w:val="24"/>
          <w:szCs w:val="24"/>
        </w:rPr>
        <w:tab/>
        <w:t xml:space="preserve">Cheng VWT, Heetun A, Robinson T, et al. The Breast Cancer Trainees Research Collaborative Group: A New Multidisciplinary  Network to Facilitate Breast Cancer Research. </w:t>
      </w:r>
      <w:r w:rsidRPr="00663721">
        <w:rPr>
          <w:rFonts w:ascii="Arial" w:hAnsi="Arial" w:cs="Arial"/>
          <w:i/>
          <w:iCs/>
          <w:noProof/>
          <w:sz w:val="24"/>
          <w:szCs w:val="24"/>
        </w:rPr>
        <w:t>Clin Oncol (R Coll Radiol)</w:t>
      </w:r>
      <w:r w:rsidRPr="00663721">
        <w:rPr>
          <w:rFonts w:ascii="Arial" w:hAnsi="Arial" w:cs="Arial"/>
          <w:noProof/>
          <w:sz w:val="24"/>
          <w:szCs w:val="24"/>
        </w:rPr>
        <w:t>. 2020;32(1):e16-e18. doi:10.1016/j.clon.2019.06.019</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18. </w:t>
      </w:r>
      <w:r w:rsidRPr="00663721">
        <w:rPr>
          <w:rFonts w:ascii="Arial" w:hAnsi="Arial" w:cs="Arial"/>
          <w:noProof/>
          <w:sz w:val="24"/>
          <w:szCs w:val="24"/>
        </w:rPr>
        <w:tab/>
        <w:t xml:space="preserve">Wang R, Zhu Y, Liu X, Liao X, He J, Niu L. The Clinicopathological features and survival outcomes of patients with different metastatic sites in stage IV breast cancer. </w:t>
      </w:r>
      <w:r w:rsidRPr="00663721">
        <w:rPr>
          <w:rFonts w:ascii="Arial" w:hAnsi="Arial" w:cs="Arial"/>
          <w:i/>
          <w:iCs/>
          <w:noProof/>
          <w:sz w:val="24"/>
          <w:szCs w:val="24"/>
        </w:rPr>
        <w:t>BMC Cancer</w:t>
      </w:r>
      <w:r w:rsidRPr="00663721">
        <w:rPr>
          <w:rFonts w:ascii="Arial" w:hAnsi="Arial" w:cs="Arial"/>
          <w:noProof/>
          <w:sz w:val="24"/>
          <w:szCs w:val="24"/>
        </w:rPr>
        <w:t>. 2019;19(1):1091. doi:10.1186/s12885-019-6311-z</w:t>
      </w:r>
    </w:p>
    <w:p w:rsidR="003B3B59" w:rsidRPr="00663721" w:rsidRDefault="003B3B59" w:rsidP="001C43B5">
      <w:pPr>
        <w:widowControl w:val="0"/>
        <w:autoSpaceDE w:val="0"/>
        <w:autoSpaceDN w:val="0"/>
        <w:adjustRightInd w:val="0"/>
        <w:spacing w:line="360" w:lineRule="auto"/>
        <w:ind w:left="640" w:hanging="640"/>
        <w:jc w:val="both"/>
        <w:rPr>
          <w:rFonts w:ascii="Arial" w:hAnsi="Arial" w:cs="Arial"/>
          <w:noProof/>
          <w:sz w:val="24"/>
          <w:szCs w:val="24"/>
        </w:rPr>
      </w:pPr>
      <w:r w:rsidRPr="00663721">
        <w:rPr>
          <w:rFonts w:ascii="Arial" w:hAnsi="Arial" w:cs="Arial"/>
          <w:noProof/>
          <w:sz w:val="24"/>
          <w:szCs w:val="24"/>
        </w:rPr>
        <w:t xml:space="preserve">19. </w:t>
      </w:r>
      <w:r w:rsidRPr="00663721">
        <w:rPr>
          <w:rFonts w:ascii="Arial" w:hAnsi="Arial" w:cs="Arial"/>
          <w:noProof/>
          <w:sz w:val="24"/>
          <w:szCs w:val="24"/>
        </w:rPr>
        <w:tab/>
        <w:t xml:space="preserve">Mustillo A, Ayoub JP, Charpentier D, Yelle L, Florescu M. Prognosis in young women less than 40 years of age with brain metastasis from breast cancer. </w:t>
      </w:r>
      <w:r w:rsidRPr="00663721">
        <w:rPr>
          <w:rFonts w:ascii="Arial" w:hAnsi="Arial" w:cs="Arial"/>
          <w:i/>
          <w:iCs/>
          <w:noProof/>
          <w:sz w:val="24"/>
          <w:szCs w:val="24"/>
        </w:rPr>
        <w:t>Curr Oncol</w:t>
      </w:r>
      <w:r w:rsidRPr="00663721">
        <w:rPr>
          <w:rFonts w:ascii="Arial" w:hAnsi="Arial" w:cs="Arial"/>
          <w:noProof/>
          <w:sz w:val="24"/>
          <w:szCs w:val="24"/>
        </w:rPr>
        <w:t>. 2020;27(1):39-45. doi:10.3747/co.27.5621</w:t>
      </w:r>
    </w:p>
    <w:p w:rsidR="00AA2E14" w:rsidRPr="00663721" w:rsidRDefault="003B3B59" w:rsidP="001C43B5">
      <w:pPr>
        <w:spacing w:line="360" w:lineRule="auto"/>
        <w:rPr>
          <w:sz w:val="24"/>
          <w:szCs w:val="24"/>
        </w:rPr>
      </w:pPr>
      <w:r w:rsidRPr="00663721">
        <w:rPr>
          <w:rFonts w:ascii="Arial" w:hAnsi="Arial" w:cs="Arial"/>
          <w:sz w:val="24"/>
          <w:szCs w:val="24"/>
        </w:rPr>
        <w:fldChar w:fldCharType="end"/>
      </w:r>
    </w:p>
    <w:sectPr w:rsidR="00AA2E14" w:rsidRPr="006637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3B5" w:rsidRDefault="001C43B5" w:rsidP="000311D8">
      <w:pPr>
        <w:spacing w:after="0" w:line="240" w:lineRule="auto"/>
      </w:pPr>
      <w:r>
        <w:separator/>
      </w:r>
    </w:p>
  </w:endnote>
  <w:endnote w:type="continuationSeparator" w:id="0">
    <w:p w:rsidR="001C43B5" w:rsidRDefault="001C43B5" w:rsidP="0003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auto"/>
    <w:notTrueType/>
    <w:pitch w:val="variable"/>
    <w:sig w:usb0="E00002FF" w:usb1="5000205A"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636169"/>
      <w:docPartObj>
        <w:docPartGallery w:val="Page Numbers (Bottom of Page)"/>
        <w:docPartUnique/>
      </w:docPartObj>
    </w:sdtPr>
    <w:sdtContent>
      <w:sdt>
        <w:sdtPr>
          <w:id w:val="-1769616900"/>
          <w:docPartObj>
            <w:docPartGallery w:val="Page Numbers (Top of Page)"/>
            <w:docPartUnique/>
          </w:docPartObj>
        </w:sdtPr>
        <w:sdtContent>
          <w:p w:rsidR="00A33C30" w:rsidRDefault="00A33C30">
            <w:pPr>
              <w:pStyle w:val="Footer"/>
              <w:pBdr>
                <w:bottom w:val="single" w:sz="6" w:space="1" w:color="auto"/>
              </w:pBdr>
              <w:jc w:val="right"/>
            </w:pPr>
          </w:p>
          <w:p w:rsidR="001C43B5" w:rsidRDefault="001C43B5">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1C43B5" w:rsidRDefault="001C4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3B5" w:rsidRDefault="001C43B5" w:rsidP="000311D8">
      <w:pPr>
        <w:spacing w:after="0" w:line="240" w:lineRule="auto"/>
      </w:pPr>
      <w:r>
        <w:separator/>
      </w:r>
    </w:p>
  </w:footnote>
  <w:footnote w:type="continuationSeparator" w:id="0">
    <w:p w:rsidR="001C43B5" w:rsidRDefault="001C43B5" w:rsidP="00031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3B5" w:rsidRPr="001C43B5" w:rsidRDefault="001C43B5" w:rsidP="003B3B59">
    <w:pPr>
      <w:pStyle w:val="Header"/>
      <w:pBdr>
        <w:bottom w:val="single" w:sz="4" w:space="1" w:color="auto"/>
      </w:pBdr>
      <w:jc w:val="left"/>
      <w:rPr>
        <w:sz w:val="24"/>
        <w:lang w:eastAsia="en-GB"/>
      </w:rPr>
    </w:pPr>
    <w:r w:rsidRPr="001C43B5">
      <w:rPr>
        <w:sz w:val="24"/>
        <w:lang w:eastAsia="en-GB"/>
      </w:rPr>
      <w:t>Protocol for PRIMROSE Audit</w:t>
    </w:r>
    <w:r>
      <w:rPr>
        <w:sz w:val="24"/>
        <w:lang w:eastAsia="en-GB"/>
      </w:rPr>
      <w:t xml:space="preserve"> </w:t>
    </w:r>
    <w:r>
      <w:rPr>
        <w:sz w:val="24"/>
        <w:lang w:eastAsia="en-GB"/>
      </w:rPr>
      <w:ptab w:relativeTo="margin" w:alignment="right" w:leader="none"/>
    </w:r>
    <w:r>
      <w:rPr>
        <w:sz w:val="24"/>
        <w:lang w:eastAsia="en-GB"/>
      </w:rPr>
      <w:t>V12 02/07/2020</w:t>
    </w:r>
  </w:p>
  <w:p w:rsidR="001C43B5" w:rsidRPr="00750C81" w:rsidRDefault="001C43B5">
    <w:pPr>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E8C"/>
    <w:multiLevelType w:val="hybridMultilevel"/>
    <w:tmpl w:val="3690BBC8"/>
    <w:lvl w:ilvl="0" w:tplc="CA48B072">
      <w:start w:val="4"/>
      <w:numFmt w:val="bullet"/>
      <w:lvlText w:val="-"/>
      <w:lvlJc w:val="left"/>
      <w:pPr>
        <w:ind w:left="709" w:hanging="360"/>
      </w:pPr>
      <w:rPr>
        <w:rFonts w:ascii="Arial" w:eastAsia="Times New Roman" w:hAnsi="Arial" w:cs="Arial" w:hint="default"/>
      </w:rPr>
    </w:lvl>
    <w:lvl w:ilvl="1" w:tplc="08090003">
      <w:start w:val="1"/>
      <w:numFmt w:val="bullet"/>
      <w:lvlText w:val="o"/>
      <w:lvlJc w:val="left"/>
      <w:pPr>
        <w:ind w:left="1429" w:hanging="360"/>
      </w:pPr>
      <w:rPr>
        <w:rFonts w:ascii="Courier New" w:hAnsi="Courier New" w:cs="Courier New" w:hint="default"/>
      </w:rPr>
    </w:lvl>
    <w:lvl w:ilvl="2" w:tplc="08090005">
      <w:start w:val="1"/>
      <w:numFmt w:val="bullet"/>
      <w:lvlText w:val=""/>
      <w:lvlJc w:val="left"/>
      <w:pPr>
        <w:ind w:left="2149" w:hanging="360"/>
      </w:pPr>
      <w:rPr>
        <w:rFonts w:ascii="Wingdings" w:hAnsi="Wingdings" w:hint="default"/>
      </w:rPr>
    </w:lvl>
    <w:lvl w:ilvl="3" w:tplc="08090017">
      <w:start w:val="1"/>
      <w:numFmt w:val="lowerLetter"/>
      <w:lvlText w:val="%4)"/>
      <w:lvlJc w:val="left"/>
      <w:pPr>
        <w:ind w:left="3053" w:hanging="360"/>
      </w:pPr>
      <w:rPr>
        <w:rFonts w:hint="default"/>
      </w:rPr>
    </w:lvl>
    <w:lvl w:ilvl="4" w:tplc="9E221D6C">
      <w:start w:val="2"/>
      <w:numFmt w:val="decimal"/>
      <w:lvlText w:val="%5"/>
      <w:lvlJc w:val="left"/>
      <w:pPr>
        <w:ind w:left="3589" w:hanging="360"/>
      </w:pPr>
      <w:rPr>
        <w:rFonts w:hint="default"/>
      </w:rPr>
    </w:lvl>
    <w:lvl w:ilvl="5" w:tplc="8862A37C">
      <w:start w:val="12"/>
      <w:numFmt w:val="decimal"/>
      <w:lvlText w:val="%6."/>
      <w:lvlJc w:val="left"/>
      <w:pPr>
        <w:ind w:left="4399" w:hanging="450"/>
      </w:pPr>
      <w:rPr>
        <w:rFont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 w15:restartNumberingAfterBreak="0">
    <w:nsid w:val="12AD2728"/>
    <w:multiLevelType w:val="hybridMultilevel"/>
    <w:tmpl w:val="DB0603E0"/>
    <w:lvl w:ilvl="0" w:tplc="EF46DA10">
      <w:start w:val="1"/>
      <w:numFmt w:val="upperLetter"/>
      <w:pStyle w:val="AppendixStyle1"/>
      <w:lvlText w:val="Appendix %1:"/>
      <w:lvlJc w:val="left"/>
      <w:pPr>
        <w:tabs>
          <w:tab w:val="num" w:pos="720"/>
        </w:tabs>
        <w:ind w:left="720" w:hanging="360"/>
      </w:pPr>
      <w:rPr>
        <w:rFonts w:ascii="Arial" w:hAnsi="Arial" w:hint="default"/>
        <w:b/>
        <w:i w:val="0"/>
        <w:sz w:val="32"/>
        <w:szCs w:val="3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E450518"/>
    <w:multiLevelType w:val="hybridMultilevel"/>
    <w:tmpl w:val="E8244E7C"/>
    <w:lvl w:ilvl="0" w:tplc="04090005">
      <w:start w:val="1"/>
      <w:numFmt w:val="bullet"/>
      <w:pStyle w:val="Bulletlisting"/>
      <w:lvlText w:val=""/>
      <w:lvlJc w:val="left"/>
      <w:pPr>
        <w:tabs>
          <w:tab w:val="num" w:pos="360"/>
        </w:tabs>
        <w:ind w:left="360" w:hanging="360"/>
      </w:pPr>
      <w:rPr>
        <w:rFonts w:ascii="Symbol" w:hAnsi="Symbol" w:hint="default"/>
        <w:color w:val="auto"/>
        <w:sz w:val="22"/>
        <w:szCs w:val="22"/>
      </w:rPr>
    </w:lvl>
    <w:lvl w:ilvl="1" w:tplc="04090003">
      <w:start w:val="1"/>
      <w:numFmt w:val="bullet"/>
      <w:lvlText w:val=""/>
      <w:lvlJc w:val="left"/>
      <w:pPr>
        <w:tabs>
          <w:tab w:val="num" w:pos="1440"/>
        </w:tabs>
        <w:ind w:left="1440" w:hanging="360"/>
      </w:pPr>
      <w:rPr>
        <w:rFonts w:ascii="Symbol" w:hAnsi="Symbol" w:hint="default"/>
        <w:color w:val="auto"/>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908C5"/>
    <w:multiLevelType w:val="hybridMultilevel"/>
    <w:tmpl w:val="D0AC0DAA"/>
    <w:lvl w:ilvl="0" w:tplc="CA48B072">
      <w:start w:val="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A528F"/>
    <w:multiLevelType w:val="multilevel"/>
    <w:tmpl w:val="C89E0918"/>
    <w:lvl w:ilvl="0">
      <w:start w:val="1"/>
      <w:numFmt w:val="decimal"/>
      <w:pStyle w:val="TierI"/>
      <w:lvlText w:val="%1.0"/>
      <w:lvlJc w:val="left"/>
      <w:pPr>
        <w:tabs>
          <w:tab w:val="num" w:pos="720"/>
        </w:tabs>
        <w:ind w:left="720" w:hanging="720"/>
      </w:pPr>
      <w:rPr>
        <w:rFonts w:ascii="Arial" w:hAnsi="Arial" w:hint="default"/>
        <w:b/>
        <w:i w:val="0"/>
        <w:sz w:val="24"/>
        <w:u w:val="none"/>
      </w:rPr>
    </w:lvl>
    <w:lvl w:ilvl="1">
      <w:start w:val="1"/>
      <w:numFmt w:val="decimal"/>
      <w:pStyle w:val="TierII"/>
      <w:lvlText w:val="%1.%2"/>
      <w:lvlJc w:val="left"/>
      <w:pPr>
        <w:tabs>
          <w:tab w:val="num" w:pos="4548"/>
        </w:tabs>
        <w:ind w:left="4548" w:hanging="720"/>
      </w:pPr>
      <w:rPr>
        <w:rFonts w:ascii="Arial" w:hAnsi="Arial" w:cs="Arial" w:hint="default"/>
        <w:b/>
        <w:i w:val="0"/>
        <w:sz w:val="22"/>
        <w:u w:val="none"/>
      </w:rPr>
    </w:lvl>
    <w:lvl w:ilvl="2">
      <w:start w:val="1"/>
      <w:numFmt w:val="decimal"/>
      <w:pStyle w:val="TierIII"/>
      <w:lvlText w:val="%1.%2.%3"/>
      <w:lvlJc w:val="left"/>
      <w:pPr>
        <w:tabs>
          <w:tab w:val="num" w:pos="1440"/>
        </w:tabs>
        <w:ind w:left="1440" w:hanging="720"/>
      </w:pPr>
      <w:rPr>
        <w:rFonts w:ascii="Times New Roman" w:hAnsi="Times New Roman" w:hint="default"/>
        <w:b w:val="0"/>
        <w:i w:val="0"/>
        <w:sz w:val="24"/>
      </w:rPr>
    </w:lvl>
    <w:lvl w:ilvl="3">
      <w:start w:val="1"/>
      <w:numFmt w:val="decimal"/>
      <w:pStyle w:val="TierIV"/>
      <w:lvlText w:val="%1.%2.%3.%4"/>
      <w:lvlJc w:val="left"/>
      <w:pPr>
        <w:tabs>
          <w:tab w:val="num" w:pos="2160"/>
        </w:tabs>
        <w:ind w:left="2160" w:hanging="1080"/>
      </w:pPr>
      <w:rPr>
        <w:rFonts w:ascii="Times New Roman" w:hAnsi="Times New Roman" w:hint="default"/>
        <w:b w:val="0"/>
        <w:i w:val="0"/>
        <w:sz w:val="24"/>
      </w:rPr>
    </w:lvl>
    <w:lvl w:ilvl="4">
      <w:start w:val="1"/>
      <w:numFmt w:val="lowerLetter"/>
      <w:pStyle w:val="TierV"/>
      <w:lvlText w:val="%5)"/>
      <w:lvlJc w:val="left"/>
      <w:pPr>
        <w:tabs>
          <w:tab w:val="num" w:pos="2520"/>
        </w:tabs>
        <w:ind w:left="2520" w:hanging="1080"/>
      </w:pPr>
      <w:rPr>
        <w:rFonts w:ascii="Times New Roman" w:hAnsi="Times New Roman" w:hint="default"/>
        <w:b w:val="0"/>
        <w:i w:val="0"/>
        <w:color w:val="auto"/>
        <w:sz w:val="24"/>
      </w:rPr>
    </w:lvl>
    <w:lvl w:ilvl="5">
      <w:start w:val="1"/>
      <w:numFmt w:val="none"/>
      <w:lvlText w:val=""/>
      <w:lvlJc w:val="left"/>
      <w:pPr>
        <w:tabs>
          <w:tab w:val="num" w:pos="3240"/>
        </w:tabs>
        <w:ind w:left="3240" w:hanging="1440"/>
      </w:pPr>
      <w:rPr>
        <w:rFonts w:ascii="Arial" w:hAnsi="Arial" w:hint="default"/>
        <w:b/>
        <w:i/>
      </w:rPr>
    </w:lvl>
    <w:lvl w:ilvl="6">
      <w:start w:val="1"/>
      <w:numFmt w:val="none"/>
      <w:lvlText w:val=""/>
      <w:lvlJc w:val="left"/>
      <w:pPr>
        <w:tabs>
          <w:tab w:val="num" w:pos="3600"/>
        </w:tabs>
        <w:ind w:left="3600" w:hanging="1440"/>
      </w:pPr>
      <w:rPr>
        <w:rFonts w:ascii="Arial" w:hAnsi="Arial" w:hint="default"/>
        <w:b/>
        <w:i/>
      </w:rPr>
    </w:lvl>
    <w:lvl w:ilvl="7">
      <w:start w:val="1"/>
      <w:numFmt w:val="none"/>
      <w:lvlText w:val=""/>
      <w:lvlJc w:val="left"/>
      <w:pPr>
        <w:tabs>
          <w:tab w:val="num" w:pos="4320"/>
        </w:tabs>
        <w:ind w:left="4320" w:hanging="1800"/>
      </w:pPr>
      <w:rPr>
        <w:rFonts w:ascii="Arial" w:hAnsi="Arial" w:hint="default"/>
        <w:b/>
        <w:i/>
      </w:rPr>
    </w:lvl>
    <w:lvl w:ilvl="8">
      <w:start w:val="1"/>
      <w:numFmt w:val="none"/>
      <w:lvlText w:val=""/>
      <w:lvlJc w:val="left"/>
      <w:pPr>
        <w:tabs>
          <w:tab w:val="num" w:pos="4680"/>
        </w:tabs>
        <w:ind w:left="4680" w:hanging="1800"/>
      </w:pPr>
      <w:rPr>
        <w:rFonts w:ascii="Arial" w:hAnsi="Arial" w:hint="default"/>
        <w:b/>
        <w:i/>
      </w:rPr>
    </w:lvl>
  </w:abstractNum>
  <w:abstractNum w:abstractNumId="5" w15:restartNumberingAfterBreak="0">
    <w:nsid w:val="2E6641E2"/>
    <w:multiLevelType w:val="hybridMultilevel"/>
    <w:tmpl w:val="F5A450EA"/>
    <w:lvl w:ilvl="0" w:tplc="A962C9C0">
      <w:start w:val="4"/>
      <w:numFmt w:val="decimal"/>
      <w:lvlText w:val="%1."/>
      <w:lvlJc w:val="left"/>
      <w:pPr>
        <w:ind w:left="927" w:hanging="360"/>
      </w:pPr>
      <w:rPr>
        <w:rFonts w:hint="default"/>
      </w:rPr>
    </w:lvl>
    <w:lvl w:ilvl="1" w:tplc="E10ADF34">
      <w:start w:val="1"/>
      <w:numFmt w:val="lowerLetter"/>
      <w:lvlText w:val="%2."/>
      <w:lvlJc w:val="left"/>
      <w:pPr>
        <w:ind w:left="785" w:hanging="360"/>
      </w:pPr>
      <w:rPr>
        <w:sz w:val="32"/>
        <w:szCs w:val="32"/>
      </w:rPr>
    </w:lvl>
    <w:lvl w:ilvl="2" w:tplc="08090001">
      <w:start w:val="1"/>
      <w:numFmt w:val="bullet"/>
      <w:lvlText w:val=""/>
      <w:lvlJc w:val="left"/>
      <w:pPr>
        <w:ind w:left="2367" w:hanging="180"/>
      </w:pPr>
      <w:rPr>
        <w:rFonts w:ascii="Symbol" w:hAnsi="Symbol" w:hint="default"/>
      </w:rPr>
    </w:lvl>
    <w:lvl w:ilvl="3" w:tplc="16143F18">
      <w:start w:val="1"/>
      <w:numFmt w:val="lowerRoman"/>
      <w:lvlText w:val="%4."/>
      <w:lvlJc w:val="left"/>
      <w:pPr>
        <w:ind w:left="3447" w:hanging="720"/>
      </w:pPr>
      <w:rPr>
        <w:rFonts w:hint="default"/>
      </w:r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FF62387"/>
    <w:multiLevelType w:val="hybridMultilevel"/>
    <w:tmpl w:val="7408DCA6"/>
    <w:lvl w:ilvl="0" w:tplc="21BA5578">
      <w:start w:val="1"/>
      <w:numFmt w:val="decimal"/>
      <w:lvlText w:val="%1."/>
      <w:lvlJc w:val="left"/>
      <w:pPr>
        <w:ind w:left="720" w:hanging="360"/>
      </w:pPr>
      <w:rPr>
        <w:rFonts w:ascii="Arial" w:hAnsi="Arial" w:cs="Aria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6A7377"/>
    <w:multiLevelType w:val="multilevel"/>
    <w:tmpl w:val="B8D4388E"/>
    <w:lvl w:ilvl="0">
      <w:start w:val="1"/>
      <w:numFmt w:val="decimal"/>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A436246"/>
    <w:multiLevelType w:val="multilevel"/>
    <w:tmpl w:val="5BC4ED8E"/>
    <w:lvl w:ilvl="0">
      <w:start w:val="1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2F60D36"/>
    <w:multiLevelType w:val="hybridMultilevel"/>
    <w:tmpl w:val="2B409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54365C4"/>
    <w:multiLevelType w:val="hybridMultilevel"/>
    <w:tmpl w:val="DB42F632"/>
    <w:lvl w:ilvl="0" w:tplc="32D6887E">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B35EDB"/>
    <w:multiLevelType w:val="multilevel"/>
    <w:tmpl w:val="76062EF8"/>
    <w:lvl w:ilvl="0">
      <w:start w:val="12"/>
      <w:numFmt w:val="decimal"/>
      <w:lvlText w:val="%1"/>
      <w:lvlJc w:val="left"/>
      <w:pPr>
        <w:ind w:left="560" w:hanging="5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15:restartNumberingAfterBreak="0">
    <w:nsid w:val="4DF90B15"/>
    <w:multiLevelType w:val="multilevel"/>
    <w:tmpl w:val="A0A8F8E2"/>
    <w:lvl w:ilvl="0">
      <w:start w:val="15"/>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14208AF"/>
    <w:multiLevelType w:val="hybridMultilevel"/>
    <w:tmpl w:val="824E64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8442A9"/>
    <w:multiLevelType w:val="hybridMultilevel"/>
    <w:tmpl w:val="B530A926"/>
    <w:lvl w:ilvl="0" w:tplc="575262D4">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E5D724A"/>
    <w:multiLevelType w:val="hybridMultilevel"/>
    <w:tmpl w:val="BD5607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3F565C"/>
    <w:multiLevelType w:val="hybridMultilevel"/>
    <w:tmpl w:val="08ECA3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38A6AC5C">
      <w:start w:val="1"/>
      <w:numFmt w:val="lowerRoman"/>
      <w:lvlText w:val="%3."/>
      <w:lvlJc w:val="right"/>
      <w:pPr>
        <w:ind w:left="2160" w:hanging="180"/>
      </w:pPr>
      <w:rPr>
        <w:b w:val="0"/>
        <w:bCs w:val="0"/>
        <w:sz w:val="24"/>
        <w:szCs w:val="2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9F0B3F"/>
    <w:multiLevelType w:val="hybridMultilevel"/>
    <w:tmpl w:val="6952D570"/>
    <w:lvl w:ilvl="0" w:tplc="238AF1E6">
      <w:start w:val="1"/>
      <w:numFmt w:val="bullet"/>
      <w:pStyle w:val="SchemaBullet1"/>
      <w:lvlText w:val=""/>
      <w:lvlJc w:val="left"/>
      <w:pPr>
        <w:tabs>
          <w:tab w:val="num" w:pos="432"/>
        </w:tabs>
        <w:ind w:left="432" w:hanging="432"/>
      </w:pPr>
      <w:rPr>
        <w:rFonts w:ascii="Symbol" w:hAnsi="Symbol" w:hint="default"/>
        <w:b w:val="0"/>
        <w:i w:val="0"/>
        <w:sz w:val="22"/>
      </w:rPr>
    </w:lvl>
    <w:lvl w:ilvl="1" w:tplc="A2A62E58" w:tentative="1">
      <w:start w:val="1"/>
      <w:numFmt w:val="bullet"/>
      <w:lvlText w:val="o"/>
      <w:lvlJc w:val="left"/>
      <w:pPr>
        <w:tabs>
          <w:tab w:val="num" w:pos="1440"/>
        </w:tabs>
        <w:ind w:left="1440" w:hanging="360"/>
      </w:pPr>
      <w:rPr>
        <w:rFonts w:ascii="Courier New" w:hAnsi="Courier New" w:hint="default"/>
      </w:rPr>
    </w:lvl>
    <w:lvl w:ilvl="2" w:tplc="721AAAE0" w:tentative="1">
      <w:start w:val="1"/>
      <w:numFmt w:val="bullet"/>
      <w:lvlText w:val=""/>
      <w:lvlJc w:val="left"/>
      <w:pPr>
        <w:tabs>
          <w:tab w:val="num" w:pos="2160"/>
        </w:tabs>
        <w:ind w:left="2160" w:hanging="360"/>
      </w:pPr>
      <w:rPr>
        <w:rFonts w:ascii="Wingdings" w:hAnsi="Wingdings" w:hint="default"/>
      </w:rPr>
    </w:lvl>
    <w:lvl w:ilvl="3" w:tplc="E86CF402" w:tentative="1">
      <w:start w:val="1"/>
      <w:numFmt w:val="bullet"/>
      <w:lvlText w:val=""/>
      <w:lvlJc w:val="left"/>
      <w:pPr>
        <w:tabs>
          <w:tab w:val="num" w:pos="2880"/>
        </w:tabs>
        <w:ind w:left="2880" w:hanging="360"/>
      </w:pPr>
      <w:rPr>
        <w:rFonts w:ascii="Symbol" w:hAnsi="Symbol" w:hint="default"/>
      </w:rPr>
    </w:lvl>
    <w:lvl w:ilvl="4" w:tplc="B6D0CDF2" w:tentative="1">
      <w:start w:val="1"/>
      <w:numFmt w:val="bullet"/>
      <w:lvlText w:val="o"/>
      <w:lvlJc w:val="left"/>
      <w:pPr>
        <w:tabs>
          <w:tab w:val="num" w:pos="3600"/>
        </w:tabs>
        <w:ind w:left="3600" w:hanging="360"/>
      </w:pPr>
      <w:rPr>
        <w:rFonts w:ascii="Courier New" w:hAnsi="Courier New" w:hint="default"/>
      </w:rPr>
    </w:lvl>
    <w:lvl w:ilvl="5" w:tplc="538EEEF2" w:tentative="1">
      <w:start w:val="1"/>
      <w:numFmt w:val="bullet"/>
      <w:lvlText w:val=""/>
      <w:lvlJc w:val="left"/>
      <w:pPr>
        <w:tabs>
          <w:tab w:val="num" w:pos="4320"/>
        </w:tabs>
        <w:ind w:left="4320" w:hanging="360"/>
      </w:pPr>
      <w:rPr>
        <w:rFonts w:ascii="Wingdings" w:hAnsi="Wingdings" w:hint="default"/>
      </w:rPr>
    </w:lvl>
    <w:lvl w:ilvl="6" w:tplc="5EBA9E64" w:tentative="1">
      <w:start w:val="1"/>
      <w:numFmt w:val="bullet"/>
      <w:lvlText w:val=""/>
      <w:lvlJc w:val="left"/>
      <w:pPr>
        <w:tabs>
          <w:tab w:val="num" w:pos="5040"/>
        </w:tabs>
        <w:ind w:left="5040" w:hanging="360"/>
      </w:pPr>
      <w:rPr>
        <w:rFonts w:ascii="Symbol" w:hAnsi="Symbol" w:hint="default"/>
      </w:rPr>
    </w:lvl>
    <w:lvl w:ilvl="7" w:tplc="CD2A5A3A" w:tentative="1">
      <w:start w:val="1"/>
      <w:numFmt w:val="bullet"/>
      <w:lvlText w:val="o"/>
      <w:lvlJc w:val="left"/>
      <w:pPr>
        <w:tabs>
          <w:tab w:val="num" w:pos="5760"/>
        </w:tabs>
        <w:ind w:left="5760" w:hanging="360"/>
      </w:pPr>
      <w:rPr>
        <w:rFonts w:ascii="Courier New" w:hAnsi="Courier New" w:hint="default"/>
      </w:rPr>
    </w:lvl>
    <w:lvl w:ilvl="8" w:tplc="EE8ABA6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5920B4"/>
    <w:multiLevelType w:val="multilevel"/>
    <w:tmpl w:val="AAD64CE8"/>
    <w:lvl w:ilvl="0">
      <w:start w:val="5"/>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8C873DC"/>
    <w:multiLevelType w:val="hybridMultilevel"/>
    <w:tmpl w:val="40EAC58C"/>
    <w:lvl w:ilvl="0" w:tplc="749CED90">
      <w:start w:val="39"/>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ED5DF8"/>
    <w:multiLevelType w:val="hybridMultilevel"/>
    <w:tmpl w:val="3D4E3304"/>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1" w15:restartNumberingAfterBreak="0">
    <w:nsid w:val="7C064C66"/>
    <w:multiLevelType w:val="multilevel"/>
    <w:tmpl w:val="3514BB4E"/>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7"/>
  </w:num>
  <w:num w:numId="3">
    <w:abstractNumId w:val="2"/>
  </w:num>
  <w:num w:numId="4">
    <w:abstractNumId w:val="1"/>
  </w:num>
  <w:num w:numId="5">
    <w:abstractNumId w:val="20"/>
  </w:num>
  <w:num w:numId="6">
    <w:abstractNumId w:val="10"/>
  </w:num>
  <w:num w:numId="7">
    <w:abstractNumId w:val="4"/>
  </w:num>
  <w:num w:numId="8">
    <w:abstractNumId w:val="3"/>
  </w:num>
  <w:num w:numId="9">
    <w:abstractNumId w:val="5"/>
  </w:num>
  <w:num w:numId="10">
    <w:abstractNumId w:val="21"/>
  </w:num>
  <w:num w:numId="11">
    <w:abstractNumId w:val="15"/>
  </w:num>
  <w:num w:numId="12">
    <w:abstractNumId w:val="14"/>
  </w:num>
  <w:num w:numId="13">
    <w:abstractNumId w:val="9"/>
  </w:num>
  <w:num w:numId="14">
    <w:abstractNumId w:val="11"/>
  </w:num>
  <w:num w:numId="15">
    <w:abstractNumId w:val="12"/>
  </w:num>
  <w:num w:numId="16">
    <w:abstractNumId w:val="16"/>
  </w:num>
  <w:num w:numId="17">
    <w:abstractNumId w:val="19"/>
  </w:num>
  <w:num w:numId="18">
    <w:abstractNumId w:val="8"/>
  </w:num>
  <w:num w:numId="19">
    <w:abstractNumId w:val="0"/>
  </w:num>
  <w:num w:numId="20">
    <w:abstractNumId w:val="13"/>
  </w:num>
  <w:num w:numId="21">
    <w:abstractNumId w:val="6"/>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59"/>
    <w:rsid w:val="000311D8"/>
    <w:rsid w:val="00066D68"/>
    <w:rsid w:val="001C43B5"/>
    <w:rsid w:val="00223A35"/>
    <w:rsid w:val="00240AE5"/>
    <w:rsid w:val="002842EF"/>
    <w:rsid w:val="00383587"/>
    <w:rsid w:val="003B3B59"/>
    <w:rsid w:val="003F450B"/>
    <w:rsid w:val="004B1F6E"/>
    <w:rsid w:val="0059733E"/>
    <w:rsid w:val="005D6789"/>
    <w:rsid w:val="005E7B5C"/>
    <w:rsid w:val="005F5A6F"/>
    <w:rsid w:val="00663721"/>
    <w:rsid w:val="008A6A7C"/>
    <w:rsid w:val="008D4AC0"/>
    <w:rsid w:val="008F7FF4"/>
    <w:rsid w:val="009C6886"/>
    <w:rsid w:val="00A33C30"/>
    <w:rsid w:val="00AA2E14"/>
    <w:rsid w:val="00B93747"/>
    <w:rsid w:val="00B94AD9"/>
    <w:rsid w:val="00BD5D7E"/>
    <w:rsid w:val="00C07029"/>
    <w:rsid w:val="00CB0B0E"/>
    <w:rsid w:val="00CC7199"/>
    <w:rsid w:val="00D405BC"/>
    <w:rsid w:val="00DF27BE"/>
    <w:rsid w:val="00E821BF"/>
    <w:rsid w:val="00F17660"/>
    <w:rsid w:val="00F5512F"/>
    <w:rsid w:val="00F57D5C"/>
    <w:rsid w:val="00F94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116EAB"/>
  <w15:chartTrackingRefBased/>
  <w15:docId w15:val="{0D2FF3EA-F9BC-486A-A430-EB23020B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Heading 1 SOP"/>
    <w:basedOn w:val="Normal"/>
    <w:next w:val="BodyText"/>
    <w:link w:val="Heading1Char"/>
    <w:autoRedefine/>
    <w:uiPriority w:val="99"/>
    <w:qFormat/>
    <w:rsid w:val="003B3B59"/>
    <w:pPr>
      <w:keepNext/>
      <w:tabs>
        <w:tab w:val="center" w:pos="4153"/>
        <w:tab w:val="right" w:pos="8306"/>
      </w:tabs>
      <w:spacing w:before="240" w:after="120" w:line="240" w:lineRule="auto"/>
      <w:ind w:left="432" w:hanging="432"/>
      <w:jc w:val="center"/>
      <w:outlineLvl w:val="0"/>
    </w:pPr>
    <w:rPr>
      <w:rFonts w:ascii="Arial" w:eastAsia="Times New Roman" w:hAnsi="Arial" w:cs="Arial"/>
      <w:b/>
      <w:sz w:val="28"/>
      <w:szCs w:val="24"/>
    </w:rPr>
  </w:style>
  <w:style w:type="paragraph" w:styleId="Heading2">
    <w:name w:val="heading 2"/>
    <w:aliases w:val="Heading 2 SOP"/>
    <w:basedOn w:val="Normal"/>
    <w:next w:val="BodyText"/>
    <w:link w:val="Heading2Char"/>
    <w:autoRedefine/>
    <w:uiPriority w:val="99"/>
    <w:qFormat/>
    <w:rsid w:val="003B3B59"/>
    <w:pPr>
      <w:keepNext/>
      <w:keepLines/>
      <w:spacing w:before="200" w:after="120" w:line="240" w:lineRule="auto"/>
      <w:ind w:left="576" w:hanging="576"/>
      <w:jc w:val="both"/>
      <w:outlineLvl w:val="1"/>
    </w:pPr>
    <w:rPr>
      <w:rFonts w:ascii="Arial" w:eastAsia="Times New Roman" w:hAnsi="Arial" w:cs="Times New Roman"/>
      <w:b/>
      <w:bCs/>
      <w:sz w:val="26"/>
      <w:szCs w:val="20"/>
    </w:rPr>
  </w:style>
  <w:style w:type="paragraph" w:styleId="Heading3">
    <w:name w:val="heading 3"/>
    <w:aliases w:val="Heading 3 SOP"/>
    <w:basedOn w:val="Normal"/>
    <w:next w:val="Normal"/>
    <w:link w:val="Heading3Char"/>
    <w:autoRedefine/>
    <w:uiPriority w:val="99"/>
    <w:qFormat/>
    <w:rsid w:val="003B3B59"/>
    <w:pPr>
      <w:keepNext/>
      <w:spacing w:after="0" w:line="240" w:lineRule="auto"/>
      <w:ind w:left="778" w:hanging="360"/>
      <w:jc w:val="both"/>
      <w:outlineLvl w:val="2"/>
    </w:pPr>
    <w:rPr>
      <w:rFonts w:ascii="Arial" w:eastAsia="Times New Roman" w:hAnsi="Arial" w:cs="Times New Roman"/>
      <w:b/>
      <w:bCs/>
      <w:szCs w:val="24"/>
    </w:rPr>
  </w:style>
  <w:style w:type="paragraph" w:styleId="Heading4">
    <w:name w:val="heading 4"/>
    <w:aliases w:val="Heading 4 SOP"/>
    <w:basedOn w:val="Normal"/>
    <w:next w:val="Normal"/>
    <w:link w:val="Heading4Char"/>
    <w:autoRedefine/>
    <w:uiPriority w:val="99"/>
    <w:qFormat/>
    <w:rsid w:val="003B3B59"/>
    <w:pPr>
      <w:keepNext/>
      <w:tabs>
        <w:tab w:val="left" w:pos="0"/>
        <w:tab w:val="left" w:pos="1530"/>
      </w:tabs>
      <w:spacing w:before="200" w:after="120" w:line="240" w:lineRule="auto"/>
      <w:jc w:val="both"/>
      <w:outlineLvl w:val="3"/>
    </w:pPr>
    <w:rPr>
      <w:rFonts w:ascii="Arial" w:eastAsia="Times New Roman" w:hAnsi="Arial" w:cs="Times New Roman"/>
      <w:b/>
      <w:sz w:val="28"/>
      <w:szCs w:val="32"/>
    </w:rPr>
  </w:style>
  <w:style w:type="paragraph" w:styleId="Heading5">
    <w:name w:val="heading 5"/>
    <w:basedOn w:val="Normal"/>
    <w:next w:val="Normal"/>
    <w:link w:val="Heading5Char"/>
    <w:qFormat/>
    <w:rsid w:val="003B3B59"/>
    <w:pPr>
      <w:keepNext/>
      <w:numPr>
        <w:ilvl w:val="4"/>
        <w:numId w:val="1"/>
      </w:numPr>
      <w:spacing w:after="0" w:line="240" w:lineRule="auto"/>
      <w:jc w:val="center"/>
      <w:outlineLvl w:val="4"/>
    </w:pPr>
    <w:rPr>
      <w:rFonts w:ascii="Arial" w:eastAsia="Times New Roman" w:hAnsi="Arial" w:cs="Times New Roman"/>
      <w:b/>
      <w:bCs/>
      <w:sz w:val="32"/>
      <w:szCs w:val="24"/>
    </w:rPr>
  </w:style>
  <w:style w:type="paragraph" w:styleId="Heading6">
    <w:name w:val="heading 6"/>
    <w:basedOn w:val="Normal"/>
    <w:next w:val="Normal"/>
    <w:link w:val="Heading6Char"/>
    <w:uiPriority w:val="99"/>
    <w:qFormat/>
    <w:rsid w:val="003B3B59"/>
    <w:pPr>
      <w:keepNext/>
      <w:numPr>
        <w:ilvl w:val="5"/>
        <w:numId w:val="1"/>
      </w:numPr>
      <w:spacing w:after="0" w:line="240" w:lineRule="auto"/>
      <w:jc w:val="both"/>
      <w:outlineLvl w:val="5"/>
    </w:pPr>
    <w:rPr>
      <w:rFonts w:ascii="Arial" w:eastAsia="Times New Roman" w:hAnsi="Arial" w:cs="Times New Roman"/>
      <w:b/>
      <w:szCs w:val="24"/>
    </w:rPr>
  </w:style>
  <w:style w:type="paragraph" w:styleId="Heading7">
    <w:name w:val="heading 7"/>
    <w:basedOn w:val="Normal"/>
    <w:next w:val="Normal"/>
    <w:link w:val="Heading7Char"/>
    <w:uiPriority w:val="99"/>
    <w:qFormat/>
    <w:rsid w:val="003B3B59"/>
    <w:pPr>
      <w:keepNext/>
      <w:numPr>
        <w:ilvl w:val="6"/>
        <w:numId w:val="1"/>
      </w:numPr>
      <w:spacing w:after="0" w:line="240" w:lineRule="auto"/>
      <w:jc w:val="both"/>
      <w:outlineLvl w:val="6"/>
    </w:pPr>
    <w:rPr>
      <w:rFonts w:ascii="Arial" w:eastAsia="Times New Roman" w:hAnsi="Arial" w:cs="Times New Roman"/>
      <w:b/>
      <w:bCs/>
      <w:szCs w:val="24"/>
    </w:rPr>
  </w:style>
  <w:style w:type="paragraph" w:styleId="Heading8">
    <w:name w:val="heading 8"/>
    <w:basedOn w:val="Normal"/>
    <w:next w:val="Normal"/>
    <w:link w:val="Heading8Char"/>
    <w:uiPriority w:val="99"/>
    <w:qFormat/>
    <w:rsid w:val="003B3B59"/>
    <w:pPr>
      <w:keepNext/>
      <w:numPr>
        <w:ilvl w:val="7"/>
        <w:numId w:val="1"/>
      </w:numPr>
      <w:spacing w:after="0" w:line="240" w:lineRule="auto"/>
      <w:jc w:val="both"/>
      <w:outlineLvl w:val="7"/>
    </w:pPr>
    <w:rPr>
      <w:rFonts w:ascii="Arial" w:eastAsia="Times New Roman" w:hAnsi="Arial" w:cs="Times New Roman"/>
      <w:b/>
      <w:bCs/>
      <w:szCs w:val="24"/>
    </w:rPr>
  </w:style>
  <w:style w:type="paragraph" w:styleId="Heading9">
    <w:name w:val="heading 9"/>
    <w:basedOn w:val="Normal"/>
    <w:next w:val="Normal"/>
    <w:link w:val="Heading9Char"/>
    <w:uiPriority w:val="99"/>
    <w:qFormat/>
    <w:rsid w:val="003B3B59"/>
    <w:pPr>
      <w:numPr>
        <w:ilvl w:val="8"/>
        <w:numId w:val="1"/>
      </w:numPr>
      <w:spacing w:before="240" w:after="60" w:line="240" w:lineRule="auto"/>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OP Char"/>
    <w:basedOn w:val="DefaultParagraphFont"/>
    <w:link w:val="Heading1"/>
    <w:uiPriority w:val="99"/>
    <w:rsid w:val="003B3B59"/>
    <w:rPr>
      <w:rFonts w:ascii="Arial" w:eastAsia="Times New Roman" w:hAnsi="Arial" w:cs="Arial"/>
      <w:b/>
      <w:sz w:val="28"/>
      <w:szCs w:val="24"/>
    </w:rPr>
  </w:style>
  <w:style w:type="character" w:customStyle="1" w:styleId="Heading2Char">
    <w:name w:val="Heading 2 Char"/>
    <w:aliases w:val="Heading 2 SOP Char"/>
    <w:basedOn w:val="DefaultParagraphFont"/>
    <w:link w:val="Heading2"/>
    <w:uiPriority w:val="99"/>
    <w:rsid w:val="003B3B59"/>
    <w:rPr>
      <w:rFonts w:ascii="Arial" w:eastAsia="Times New Roman" w:hAnsi="Arial" w:cs="Times New Roman"/>
      <w:b/>
      <w:bCs/>
      <w:sz w:val="26"/>
      <w:szCs w:val="20"/>
    </w:rPr>
  </w:style>
  <w:style w:type="character" w:customStyle="1" w:styleId="Heading3Char">
    <w:name w:val="Heading 3 Char"/>
    <w:aliases w:val="Heading 3 SOP Char"/>
    <w:basedOn w:val="DefaultParagraphFont"/>
    <w:link w:val="Heading3"/>
    <w:uiPriority w:val="99"/>
    <w:rsid w:val="003B3B59"/>
    <w:rPr>
      <w:rFonts w:ascii="Arial" w:eastAsia="Times New Roman" w:hAnsi="Arial" w:cs="Times New Roman"/>
      <w:b/>
      <w:bCs/>
      <w:szCs w:val="24"/>
    </w:rPr>
  </w:style>
  <w:style w:type="character" w:customStyle="1" w:styleId="Heading4Char">
    <w:name w:val="Heading 4 Char"/>
    <w:aliases w:val="Heading 4 SOP Char"/>
    <w:basedOn w:val="DefaultParagraphFont"/>
    <w:link w:val="Heading4"/>
    <w:uiPriority w:val="99"/>
    <w:rsid w:val="003B3B59"/>
    <w:rPr>
      <w:rFonts w:ascii="Arial" w:eastAsia="Times New Roman" w:hAnsi="Arial" w:cs="Times New Roman"/>
      <w:b/>
      <w:sz w:val="28"/>
      <w:szCs w:val="32"/>
    </w:rPr>
  </w:style>
  <w:style w:type="character" w:customStyle="1" w:styleId="Heading5Char">
    <w:name w:val="Heading 5 Char"/>
    <w:basedOn w:val="DefaultParagraphFont"/>
    <w:link w:val="Heading5"/>
    <w:rsid w:val="003B3B59"/>
    <w:rPr>
      <w:rFonts w:ascii="Arial" w:eastAsia="Times New Roman" w:hAnsi="Arial" w:cs="Times New Roman"/>
      <w:b/>
      <w:bCs/>
      <w:sz w:val="32"/>
      <w:szCs w:val="24"/>
    </w:rPr>
  </w:style>
  <w:style w:type="character" w:customStyle="1" w:styleId="Heading6Char">
    <w:name w:val="Heading 6 Char"/>
    <w:basedOn w:val="DefaultParagraphFont"/>
    <w:link w:val="Heading6"/>
    <w:uiPriority w:val="99"/>
    <w:rsid w:val="003B3B59"/>
    <w:rPr>
      <w:rFonts w:ascii="Arial" w:eastAsia="Times New Roman" w:hAnsi="Arial" w:cs="Times New Roman"/>
      <w:b/>
      <w:szCs w:val="24"/>
    </w:rPr>
  </w:style>
  <w:style w:type="character" w:customStyle="1" w:styleId="Heading7Char">
    <w:name w:val="Heading 7 Char"/>
    <w:basedOn w:val="DefaultParagraphFont"/>
    <w:link w:val="Heading7"/>
    <w:uiPriority w:val="99"/>
    <w:rsid w:val="003B3B59"/>
    <w:rPr>
      <w:rFonts w:ascii="Arial" w:eastAsia="Times New Roman" w:hAnsi="Arial" w:cs="Times New Roman"/>
      <w:b/>
      <w:bCs/>
      <w:szCs w:val="24"/>
    </w:rPr>
  </w:style>
  <w:style w:type="character" w:customStyle="1" w:styleId="Heading8Char">
    <w:name w:val="Heading 8 Char"/>
    <w:basedOn w:val="DefaultParagraphFont"/>
    <w:link w:val="Heading8"/>
    <w:uiPriority w:val="99"/>
    <w:rsid w:val="003B3B59"/>
    <w:rPr>
      <w:rFonts w:ascii="Arial" w:eastAsia="Times New Roman" w:hAnsi="Arial" w:cs="Times New Roman"/>
      <w:b/>
      <w:bCs/>
      <w:szCs w:val="24"/>
    </w:rPr>
  </w:style>
  <w:style w:type="character" w:customStyle="1" w:styleId="Heading9Char">
    <w:name w:val="Heading 9 Char"/>
    <w:basedOn w:val="DefaultParagraphFont"/>
    <w:link w:val="Heading9"/>
    <w:uiPriority w:val="99"/>
    <w:rsid w:val="003B3B59"/>
    <w:rPr>
      <w:rFonts w:ascii="Arial" w:eastAsia="Times New Roman" w:hAnsi="Arial" w:cs="Arial"/>
    </w:rPr>
  </w:style>
  <w:style w:type="numbering" w:customStyle="1" w:styleId="NoList1">
    <w:name w:val="No List1"/>
    <w:next w:val="NoList"/>
    <w:uiPriority w:val="99"/>
    <w:semiHidden/>
    <w:unhideWhenUsed/>
    <w:rsid w:val="003B3B59"/>
  </w:style>
  <w:style w:type="paragraph" w:styleId="BodyText">
    <w:name w:val="Body Text"/>
    <w:basedOn w:val="Normal"/>
    <w:link w:val="BodyTextChar"/>
    <w:rsid w:val="003B3B59"/>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3B3B59"/>
    <w:rPr>
      <w:rFonts w:ascii="Arial" w:eastAsia="Times New Roman" w:hAnsi="Arial" w:cs="Times New Roman"/>
      <w:szCs w:val="24"/>
    </w:rPr>
  </w:style>
  <w:style w:type="paragraph" w:styleId="Header">
    <w:name w:val="header"/>
    <w:basedOn w:val="Normal"/>
    <w:link w:val="HeaderChar"/>
    <w:uiPriority w:val="99"/>
    <w:rsid w:val="003B3B59"/>
    <w:pPr>
      <w:tabs>
        <w:tab w:val="center" w:pos="4153"/>
        <w:tab w:val="right" w:pos="8306"/>
      </w:tabs>
      <w:spacing w:after="0" w:line="240" w:lineRule="auto"/>
      <w:jc w:val="both"/>
    </w:pPr>
    <w:rPr>
      <w:rFonts w:ascii="Arial" w:eastAsia="Times New Roman" w:hAnsi="Arial" w:cs="Times New Roman"/>
      <w:szCs w:val="24"/>
    </w:rPr>
  </w:style>
  <w:style w:type="character" w:customStyle="1" w:styleId="HeaderChar">
    <w:name w:val="Header Char"/>
    <w:basedOn w:val="DefaultParagraphFont"/>
    <w:link w:val="Header"/>
    <w:uiPriority w:val="99"/>
    <w:rsid w:val="003B3B59"/>
    <w:rPr>
      <w:rFonts w:ascii="Arial" w:eastAsia="Times New Roman" w:hAnsi="Arial" w:cs="Times New Roman"/>
      <w:szCs w:val="24"/>
    </w:rPr>
  </w:style>
  <w:style w:type="paragraph" w:styleId="CommentText">
    <w:name w:val="annotation text"/>
    <w:basedOn w:val="Normal"/>
    <w:link w:val="CommentTextChar"/>
    <w:uiPriority w:val="99"/>
    <w:rsid w:val="003B3B59"/>
    <w:pPr>
      <w:spacing w:after="0" w:line="240" w:lineRule="auto"/>
      <w:jc w:val="both"/>
    </w:pPr>
    <w:rPr>
      <w:rFonts w:ascii="Arial" w:eastAsia="Times New Roman" w:hAnsi="Arial" w:cs="Times New Roman"/>
      <w:sz w:val="20"/>
      <w:szCs w:val="24"/>
    </w:rPr>
  </w:style>
  <w:style w:type="character" w:customStyle="1" w:styleId="CommentTextChar">
    <w:name w:val="Comment Text Char"/>
    <w:basedOn w:val="DefaultParagraphFont"/>
    <w:link w:val="CommentText"/>
    <w:uiPriority w:val="99"/>
    <w:rsid w:val="003B3B59"/>
    <w:rPr>
      <w:rFonts w:ascii="Arial" w:eastAsia="Times New Roman" w:hAnsi="Arial" w:cs="Times New Roman"/>
      <w:sz w:val="20"/>
      <w:szCs w:val="24"/>
    </w:rPr>
  </w:style>
  <w:style w:type="paragraph" w:styleId="BodyTextIndent">
    <w:name w:val="Body Text Indent"/>
    <w:basedOn w:val="Normal"/>
    <w:link w:val="BodyTextIndentChar"/>
    <w:rsid w:val="003B3B59"/>
    <w:pPr>
      <w:spacing w:after="0" w:line="360" w:lineRule="auto"/>
      <w:ind w:left="2880" w:hanging="2880"/>
      <w:jc w:val="both"/>
    </w:pPr>
    <w:rPr>
      <w:rFonts w:ascii="Arial" w:eastAsia="Times New Roman" w:hAnsi="Arial" w:cs="Times New Roman"/>
      <w:szCs w:val="24"/>
    </w:rPr>
  </w:style>
  <w:style w:type="character" w:customStyle="1" w:styleId="BodyTextIndentChar">
    <w:name w:val="Body Text Indent Char"/>
    <w:basedOn w:val="DefaultParagraphFont"/>
    <w:link w:val="BodyTextIndent"/>
    <w:rsid w:val="003B3B59"/>
    <w:rPr>
      <w:rFonts w:ascii="Arial" w:eastAsia="Times New Roman" w:hAnsi="Arial" w:cs="Times New Roman"/>
      <w:szCs w:val="24"/>
    </w:rPr>
  </w:style>
  <w:style w:type="paragraph" w:styleId="BodyText3">
    <w:name w:val="Body Text 3"/>
    <w:basedOn w:val="Normal"/>
    <w:link w:val="BodyText3Char"/>
    <w:rsid w:val="003B3B59"/>
    <w:pPr>
      <w:spacing w:after="0" w:line="240" w:lineRule="auto"/>
      <w:jc w:val="both"/>
    </w:pPr>
    <w:rPr>
      <w:rFonts w:ascii="Arial" w:eastAsia="Times New Roman" w:hAnsi="Arial" w:cs="Times New Roman"/>
      <w:szCs w:val="24"/>
    </w:rPr>
  </w:style>
  <w:style w:type="character" w:customStyle="1" w:styleId="BodyText3Char">
    <w:name w:val="Body Text 3 Char"/>
    <w:basedOn w:val="DefaultParagraphFont"/>
    <w:link w:val="BodyText3"/>
    <w:rsid w:val="003B3B59"/>
    <w:rPr>
      <w:rFonts w:ascii="Arial" w:eastAsia="Times New Roman" w:hAnsi="Arial" w:cs="Times New Roman"/>
      <w:szCs w:val="24"/>
    </w:rPr>
  </w:style>
  <w:style w:type="paragraph" w:styleId="Footer">
    <w:name w:val="footer"/>
    <w:basedOn w:val="Normal"/>
    <w:link w:val="FooterChar"/>
    <w:uiPriority w:val="99"/>
    <w:rsid w:val="003B3B59"/>
    <w:pPr>
      <w:tabs>
        <w:tab w:val="center" w:pos="4153"/>
        <w:tab w:val="right" w:pos="8306"/>
      </w:tabs>
      <w:spacing w:after="0" w:line="240" w:lineRule="auto"/>
      <w:jc w:val="both"/>
    </w:pPr>
    <w:rPr>
      <w:rFonts w:ascii="Arial" w:eastAsia="Times New Roman" w:hAnsi="Arial" w:cs="Times New Roman"/>
      <w:szCs w:val="24"/>
    </w:rPr>
  </w:style>
  <w:style w:type="character" w:customStyle="1" w:styleId="FooterChar">
    <w:name w:val="Footer Char"/>
    <w:basedOn w:val="DefaultParagraphFont"/>
    <w:link w:val="Footer"/>
    <w:uiPriority w:val="99"/>
    <w:rsid w:val="003B3B59"/>
    <w:rPr>
      <w:rFonts w:ascii="Arial" w:eastAsia="Times New Roman" w:hAnsi="Arial" w:cs="Times New Roman"/>
      <w:szCs w:val="24"/>
    </w:rPr>
  </w:style>
  <w:style w:type="paragraph" w:styleId="BodyTextIndent2">
    <w:name w:val="Body Text Indent 2"/>
    <w:basedOn w:val="Normal"/>
    <w:link w:val="BodyTextIndent2Char"/>
    <w:rsid w:val="003B3B59"/>
    <w:pPr>
      <w:spacing w:after="0" w:line="240" w:lineRule="auto"/>
      <w:ind w:left="360"/>
      <w:jc w:val="both"/>
    </w:pPr>
    <w:rPr>
      <w:rFonts w:ascii="Arial" w:eastAsia="Times New Roman" w:hAnsi="Arial" w:cs="Times New Roman"/>
      <w:bCs/>
      <w:szCs w:val="24"/>
    </w:rPr>
  </w:style>
  <w:style w:type="character" w:customStyle="1" w:styleId="BodyTextIndent2Char">
    <w:name w:val="Body Text Indent 2 Char"/>
    <w:basedOn w:val="DefaultParagraphFont"/>
    <w:link w:val="BodyTextIndent2"/>
    <w:rsid w:val="003B3B59"/>
    <w:rPr>
      <w:rFonts w:ascii="Arial" w:eastAsia="Times New Roman" w:hAnsi="Arial" w:cs="Times New Roman"/>
      <w:bCs/>
      <w:szCs w:val="24"/>
    </w:rPr>
  </w:style>
  <w:style w:type="paragraph" w:styleId="BalloonText">
    <w:name w:val="Balloon Text"/>
    <w:basedOn w:val="Normal"/>
    <w:link w:val="BalloonTextChar"/>
    <w:semiHidden/>
    <w:rsid w:val="003B3B59"/>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B3B59"/>
    <w:rPr>
      <w:rFonts w:ascii="Tahoma" w:eastAsia="Times New Roman" w:hAnsi="Tahoma" w:cs="Tahoma"/>
      <w:sz w:val="16"/>
      <w:szCs w:val="16"/>
    </w:rPr>
  </w:style>
  <w:style w:type="character" w:styleId="CommentReference">
    <w:name w:val="annotation reference"/>
    <w:basedOn w:val="DefaultParagraphFont"/>
    <w:uiPriority w:val="99"/>
    <w:semiHidden/>
    <w:rsid w:val="003B3B59"/>
    <w:rPr>
      <w:sz w:val="16"/>
      <w:szCs w:val="16"/>
    </w:rPr>
  </w:style>
  <w:style w:type="paragraph" w:styleId="CommentSubject">
    <w:name w:val="annotation subject"/>
    <w:basedOn w:val="CommentText"/>
    <w:next w:val="CommentText"/>
    <w:link w:val="CommentSubjectChar"/>
    <w:semiHidden/>
    <w:rsid w:val="003B3B59"/>
    <w:rPr>
      <w:b/>
      <w:bCs/>
      <w:szCs w:val="20"/>
    </w:rPr>
  </w:style>
  <w:style w:type="character" w:customStyle="1" w:styleId="CommentSubjectChar">
    <w:name w:val="Comment Subject Char"/>
    <w:basedOn w:val="CommentTextChar"/>
    <w:link w:val="CommentSubject"/>
    <w:semiHidden/>
    <w:rsid w:val="003B3B59"/>
    <w:rPr>
      <w:rFonts w:ascii="Arial" w:eastAsia="Times New Roman" w:hAnsi="Arial" w:cs="Times New Roman"/>
      <w:b/>
      <w:bCs/>
      <w:sz w:val="20"/>
      <w:szCs w:val="20"/>
    </w:rPr>
  </w:style>
  <w:style w:type="paragraph" w:styleId="BodyText2">
    <w:name w:val="Body Text 2"/>
    <w:basedOn w:val="Normal"/>
    <w:link w:val="BodyText2Char"/>
    <w:rsid w:val="003B3B59"/>
    <w:pPr>
      <w:spacing w:after="120" w:line="480" w:lineRule="auto"/>
      <w:jc w:val="both"/>
    </w:pPr>
    <w:rPr>
      <w:rFonts w:ascii="Arial" w:eastAsia="Times New Roman" w:hAnsi="Arial" w:cs="Times New Roman"/>
      <w:szCs w:val="24"/>
    </w:rPr>
  </w:style>
  <w:style w:type="character" w:customStyle="1" w:styleId="BodyText2Char">
    <w:name w:val="Body Text 2 Char"/>
    <w:basedOn w:val="DefaultParagraphFont"/>
    <w:link w:val="BodyText2"/>
    <w:rsid w:val="003B3B59"/>
    <w:rPr>
      <w:rFonts w:ascii="Arial" w:eastAsia="Times New Roman" w:hAnsi="Arial" w:cs="Times New Roman"/>
      <w:szCs w:val="24"/>
    </w:rPr>
  </w:style>
  <w:style w:type="paragraph" w:customStyle="1" w:styleId="Default">
    <w:name w:val="Default"/>
    <w:rsid w:val="003B3B5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rsid w:val="003B3B59"/>
    <w:rPr>
      <w:strike w:val="0"/>
      <w:dstrike w:val="0"/>
      <w:color w:val="auto"/>
      <w:u w:val="none"/>
      <w:effect w:val="none"/>
    </w:rPr>
  </w:style>
  <w:style w:type="paragraph" w:customStyle="1" w:styleId="default0">
    <w:name w:val="default"/>
    <w:basedOn w:val="Normal"/>
    <w:rsid w:val="003B3B59"/>
    <w:pPr>
      <w:autoSpaceDE w:val="0"/>
      <w:autoSpaceDN w:val="0"/>
      <w:spacing w:after="0" w:line="240" w:lineRule="auto"/>
      <w:jc w:val="both"/>
    </w:pPr>
    <w:rPr>
      <w:rFonts w:ascii="Arial" w:eastAsia="Times New Roman" w:hAnsi="Arial" w:cs="Arial"/>
      <w:color w:val="000000"/>
      <w:szCs w:val="24"/>
      <w:lang w:eastAsia="en-GB"/>
    </w:rPr>
  </w:style>
  <w:style w:type="character" w:styleId="FollowedHyperlink">
    <w:name w:val="FollowedHyperlink"/>
    <w:basedOn w:val="DefaultParagraphFont"/>
    <w:uiPriority w:val="99"/>
    <w:rsid w:val="003B3B59"/>
    <w:rPr>
      <w:color w:val="800080"/>
      <w:u w:val="single"/>
    </w:rPr>
  </w:style>
  <w:style w:type="paragraph" w:customStyle="1" w:styleId="Guidance1">
    <w:name w:val="Guidance1"/>
    <w:basedOn w:val="Normal"/>
    <w:next w:val="NoSpacing"/>
    <w:link w:val="NoSpacingChar"/>
    <w:uiPriority w:val="1"/>
    <w:qFormat/>
    <w:rsid w:val="003B3B59"/>
    <w:pPr>
      <w:spacing w:after="0" w:line="240" w:lineRule="auto"/>
      <w:jc w:val="both"/>
    </w:pPr>
    <w:rPr>
      <w:rFonts w:ascii="Arial" w:eastAsia="Times New Roman" w:hAnsi="Arial" w:cs="Times New Roman"/>
      <w:color w:val="548DD4"/>
      <w:szCs w:val="24"/>
    </w:rPr>
  </w:style>
  <w:style w:type="character" w:customStyle="1" w:styleId="NoSpacingChar">
    <w:name w:val="No Spacing Char"/>
    <w:aliases w:val="Guidance Char"/>
    <w:basedOn w:val="DefaultParagraphFont"/>
    <w:link w:val="Guidance1"/>
    <w:uiPriority w:val="1"/>
    <w:rsid w:val="003B3B59"/>
    <w:rPr>
      <w:rFonts w:ascii="Arial" w:hAnsi="Arial"/>
      <w:color w:val="548DD4"/>
      <w:sz w:val="22"/>
      <w:szCs w:val="24"/>
      <w:lang w:eastAsia="en-US"/>
    </w:rPr>
  </w:style>
  <w:style w:type="paragraph" w:styleId="TOC1">
    <w:name w:val="toc 1"/>
    <w:basedOn w:val="Normal"/>
    <w:next w:val="Normal"/>
    <w:autoRedefine/>
    <w:uiPriority w:val="39"/>
    <w:unhideWhenUsed/>
    <w:qFormat/>
    <w:rsid w:val="00F17660"/>
    <w:pPr>
      <w:tabs>
        <w:tab w:val="left" w:pos="426"/>
        <w:tab w:val="right" w:leader="dot" w:pos="10456"/>
      </w:tabs>
      <w:spacing w:after="0" w:line="360" w:lineRule="auto"/>
      <w:jc w:val="both"/>
    </w:pPr>
    <w:rPr>
      <w:rFonts w:ascii="Arial" w:eastAsia="Times New Roman" w:hAnsi="Arial" w:cs="Times New Roman"/>
      <w:szCs w:val="24"/>
    </w:rPr>
  </w:style>
  <w:style w:type="paragraph" w:styleId="TOC2">
    <w:name w:val="toc 2"/>
    <w:basedOn w:val="Normal"/>
    <w:next w:val="Normal"/>
    <w:autoRedefine/>
    <w:uiPriority w:val="39"/>
    <w:unhideWhenUsed/>
    <w:qFormat/>
    <w:rsid w:val="003B3B59"/>
    <w:pPr>
      <w:spacing w:after="0" w:line="240" w:lineRule="auto"/>
      <w:ind w:left="240"/>
      <w:jc w:val="both"/>
    </w:pPr>
    <w:rPr>
      <w:rFonts w:ascii="Arial" w:eastAsia="Times New Roman" w:hAnsi="Arial" w:cs="Times New Roman"/>
      <w:szCs w:val="24"/>
    </w:rPr>
  </w:style>
  <w:style w:type="paragraph" w:styleId="TOC3">
    <w:name w:val="toc 3"/>
    <w:basedOn w:val="Normal"/>
    <w:next w:val="Normal"/>
    <w:autoRedefine/>
    <w:uiPriority w:val="39"/>
    <w:unhideWhenUsed/>
    <w:qFormat/>
    <w:rsid w:val="003B3B59"/>
    <w:pPr>
      <w:tabs>
        <w:tab w:val="left" w:pos="1200"/>
        <w:tab w:val="right" w:leader="dot" w:pos="9016"/>
      </w:tabs>
      <w:spacing w:after="0" w:line="240" w:lineRule="auto"/>
      <w:ind w:left="442"/>
      <w:jc w:val="both"/>
    </w:pPr>
    <w:rPr>
      <w:rFonts w:ascii="Arial" w:eastAsia="Times New Roman" w:hAnsi="Arial" w:cs="Times New Roman"/>
      <w:lang w:val="en-US"/>
    </w:rPr>
  </w:style>
  <w:style w:type="paragraph" w:styleId="Title">
    <w:name w:val="Title"/>
    <w:basedOn w:val="Normal"/>
    <w:next w:val="Normal"/>
    <w:link w:val="TitleChar"/>
    <w:uiPriority w:val="10"/>
    <w:qFormat/>
    <w:rsid w:val="003B3B59"/>
    <w:pPr>
      <w:spacing w:after="0" w:line="240" w:lineRule="auto"/>
      <w:jc w:val="both"/>
    </w:pPr>
    <w:rPr>
      <w:rFonts w:ascii="Arial" w:eastAsia="Times New Roman" w:hAnsi="Arial" w:cs="Times New Roman"/>
      <w:b/>
      <w:sz w:val="32"/>
      <w:szCs w:val="32"/>
    </w:rPr>
  </w:style>
  <w:style w:type="character" w:customStyle="1" w:styleId="TitleChar">
    <w:name w:val="Title Char"/>
    <w:basedOn w:val="DefaultParagraphFont"/>
    <w:link w:val="Title"/>
    <w:uiPriority w:val="10"/>
    <w:rsid w:val="003B3B59"/>
    <w:rPr>
      <w:rFonts w:ascii="Arial" w:eastAsia="Times New Roman" w:hAnsi="Arial" w:cs="Times New Roman"/>
      <w:b/>
      <w:sz w:val="32"/>
      <w:szCs w:val="32"/>
    </w:rPr>
  </w:style>
  <w:style w:type="character" w:customStyle="1" w:styleId="xdtextbox1">
    <w:name w:val="xdtextbox1"/>
    <w:basedOn w:val="DefaultParagraphFont"/>
    <w:rsid w:val="003B3B59"/>
    <w:rPr>
      <w:color w:val="auto"/>
      <w:bdr w:val="single" w:sz="8" w:space="1" w:color="DCDCDC" w:frame="1"/>
      <w:shd w:val="clear" w:color="auto" w:fill="FFFFFF"/>
    </w:rPr>
  </w:style>
  <w:style w:type="paragraph" w:styleId="ListParagraph">
    <w:name w:val="List Paragraph"/>
    <w:basedOn w:val="Normal"/>
    <w:uiPriority w:val="34"/>
    <w:qFormat/>
    <w:rsid w:val="003B3B59"/>
    <w:pPr>
      <w:spacing w:after="0" w:line="240" w:lineRule="auto"/>
      <w:ind w:left="720"/>
      <w:jc w:val="both"/>
    </w:pPr>
    <w:rPr>
      <w:rFonts w:ascii="Arial" w:eastAsia="Times New Roman" w:hAnsi="Arial" w:cs="Times New Roman"/>
      <w:szCs w:val="24"/>
    </w:rPr>
  </w:style>
  <w:style w:type="table" w:styleId="TableGrid">
    <w:name w:val="Table Grid"/>
    <w:basedOn w:val="TableNormal"/>
    <w:rsid w:val="003B3B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nhideWhenUsed/>
    <w:rsid w:val="003B3B59"/>
    <w:pPr>
      <w:spacing w:after="0" w:line="240" w:lineRule="auto"/>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3B3B59"/>
    <w:rPr>
      <w:rFonts w:ascii="Tahoma" w:eastAsia="Times New Roman" w:hAnsi="Tahoma" w:cs="Tahoma"/>
      <w:sz w:val="16"/>
      <w:szCs w:val="16"/>
    </w:rPr>
  </w:style>
  <w:style w:type="character" w:styleId="PlaceholderText">
    <w:name w:val="Placeholder Text"/>
    <w:basedOn w:val="DefaultParagraphFont"/>
    <w:uiPriority w:val="99"/>
    <w:semiHidden/>
    <w:rsid w:val="003B3B59"/>
    <w:rPr>
      <w:color w:val="808080"/>
    </w:rPr>
  </w:style>
  <w:style w:type="character" w:customStyle="1" w:styleId="BodyTextChar1">
    <w:name w:val="Body Text Char1"/>
    <w:basedOn w:val="DefaultParagraphFont"/>
    <w:rsid w:val="003B3B59"/>
    <w:rPr>
      <w:rFonts w:ascii="Arial" w:hAnsi="Arial"/>
      <w:sz w:val="22"/>
      <w:lang w:val="en-GB" w:eastAsia="en-US" w:bidi="ar-SA"/>
    </w:rPr>
  </w:style>
  <w:style w:type="paragraph" w:customStyle="1" w:styleId="SchemaBullet1">
    <w:name w:val="SchemaBullet1"/>
    <w:basedOn w:val="SchemaTxt"/>
    <w:semiHidden/>
    <w:rsid w:val="003B3B59"/>
    <w:pPr>
      <w:numPr>
        <w:numId w:val="2"/>
      </w:numPr>
      <w:spacing w:before="60"/>
    </w:pPr>
  </w:style>
  <w:style w:type="paragraph" w:customStyle="1" w:styleId="SchemaTxt">
    <w:name w:val="SchemaTxt"/>
    <w:basedOn w:val="Normal"/>
    <w:semiHidden/>
    <w:rsid w:val="003B3B59"/>
    <w:pPr>
      <w:tabs>
        <w:tab w:val="left" w:pos="2160"/>
      </w:tabs>
      <w:spacing w:after="0" w:line="274" w:lineRule="auto"/>
      <w:ind w:left="2160" w:hanging="2160"/>
    </w:pPr>
    <w:rPr>
      <w:rFonts w:ascii="Arial" w:eastAsia="Times New Roman" w:hAnsi="Arial" w:cs="Times New Roman"/>
      <w:bCs/>
      <w:szCs w:val="20"/>
    </w:rPr>
  </w:style>
  <w:style w:type="paragraph" w:customStyle="1" w:styleId="Heading1After6pt">
    <w:name w:val="Heading 1 + After:  6 pt"/>
    <w:basedOn w:val="Heading1"/>
    <w:rsid w:val="003B3B59"/>
    <w:pPr>
      <w:pageBreakBefore/>
      <w:tabs>
        <w:tab w:val="clear" w:pos="4153"/>
        <w:tab w:val="clear" w:pos="8306"/>
      </w:tabs>
      <w:spacing w:before="360" w:line="274" w:lineRule="auto"/>
    </w:pPr>
    <w:rPr>
      <w:caps/>
      <w:sz w:val="32"/>
      <w:szCs w:val="20"/>
    </w:rPr>
  </w:style>
  <w:style w:type="paragraph" w:customStyle="1" w:styleId="hrhStyle1">
    <w:name w:val="hrh Style 1"/>
    <w:basedOn w:val="Heading1"/>
    <w:next w:val="BodyStyle1"/>
    <w:link w:val="hrhStyle1Char"/>
    <w:rsid w:val="003B3B59"/>
    <w:pPr>
      <w:pageBreakBefore/>
      <w:tabs>
        <w:tab w:val="clear" w:pos="4153"/>
        <w:tab w:val="clear" w:pos="8306"/>
      </w:tabs>
      <w:spacing w:before="0" w:after="360" w:line="274" w:lineRule="auto"/>
    </w:pPr>
    <w:rPr>
      <w:bCs/>
      <w:caps/>
      <w:sz w:val="32"/>
    </w:rPr>
  </w:style>
  <w:style w:type="paragraph" w:customStyle="1" w:styleId="BodyStyle1">
    <w:name w:val="Body Style 1"/>
    <w:basedOn w:val="BodyText"/>
    <w:link w:val="BodyStyle1Char1"/>
    <w:rsid w:val="003B3B59"/>
    <w:rPr>
      <w:szCs w:val="20"/>
    </w:rPr>
  </w:style>
  <w:style w:type="character" w:customStyle="1" w:styleId="BodyStyle1Char1">
    <w:name w:val="Body Style 1 Char1"/>
    <w:basedOn w:val="BodyTextChar1"/>
    <w:link w:val="BodyStyle1"/>
    <w:rsid w:val="003B3B59"/>
    <w:rPr>
      <w:rFonts w:ascii="Arial" w:eastAsia="Times New Roman" w:hAnsi="Arial" w:cs="Times New Roman"/>
      <w:sz w:val="22"/>
      <w:szCs w:val="20"/>
      <w:lang w:val="en-GB" w:eastAsia="en-US" w:bidi="ar-SA"/>
    </w:rPr>
  </w:style>
  <w:style w:type="character" w:customStyle="1" w:styleId="hrhStyle1Char">
    <w:name w:val="hrh Style 1 Char"/>
    <w:basedOn w:val="Heading1Char"/>
    <w:link w:val="hrhStyle1"/>
    <w:rsid w:val="003B3B59"/>
    <w:rPr>
      <w:rFonts w:ascii="Arial" w:eastAsia="Times New Roman" w:hAnsi="Arial" w:cs="Arial"/>
      <w:b/>
      <w:bCs/>
      <w:caps/>
      <w:sz w:val="32"/>
      <w:szCs w:val="24"/>
    </w:rPr>
  </w:style>
  <w:style w:type="paragraph" w:customStyle="1" w:styleId="hrhStyle2">
    <w:name w:val="hrh Style 2"/>
    <w:basedOn w:val="Heading2"/>
    <w:next w:val="BodyStyle1"/>
    <w:link w:val="hrhStyle2Char"/>
    <w:rsid w:val="003B3B59"/>
    <w:pPr>
      <w:keepLines w:val="0"/>
      <w:spacing w:before="360" w:line="274" w:lineRule="auto"/>
      <w:jc w:val="left"/>
    </w:pPr>
    <w:rPr>
      <w:sz w:val="28"/>
    </w:rPr>
  </w:style>
  <w:style w:type="character" w:customStyle="1" w:styleId="hrhStyle2Char">
    <w:name w:val="hrh Style 2 Char"/>
    <w:basedOn w:val="DefaultParagraphFont"/>
    <w:link w:val="hrhStyle2"/>
    <w:rsid w:val="003B3B59"/>
    <w:rPr>
      <w:rFonts w:ascii="Arial" w:eastAsia="Times New Roman" w:hAnsi="Arial" w:cs="Times New Roman"/>
      <w:b/>
      <w:bCs/>
      <w:sz w:val="28"/>
      <w:szCs w:val="20"/>
    </w:rPr>
  </w:style>
  <w:style w:type="paragraph" w:customStyle="1" w:styleId="hrhStyle3">
    <w:name w:val="hrh Style 3"/>
    <w:basedOn w:val="Heading3"/>
    <w:next w:val="BodyStyle1"/>
    <w:link w:val="hrhStyle3Char"/>
    <w:rsid w:val="003B3B59"/>
    <w:pPr>
      <w:spacing w:before="360" w:line="274" w:lineRule="auto"/>
      <w:jc w:val="left"/>
    </w:pPr>
    <w:rPr>
      <w:sz w:val="24"/>
    </w:rPr>
  </w:style>
  <w:style w:type="character" w:customStyle="1" w:styleId="hrhStyle3Char">
    <w:name w:val="hrh Style 3 Char"/>
    <w:basedOn w:val="Heading3Char"/>
    <w:link w:val="hrhStyle3"/>
    <w:rsid w:val="003B3B59"/>
    <w:rPr>
      <w:rFonts w:ascii="Arial" w:eastAsia="Times New Roman" w:hAnsi="Arial" w:cs="Times New Roman"/>
      <w:b/>
      <w:bCs/>
      <w:sz w:val="24"/>
      <w:szCs w:val="24"/>
    </w:rPr>
  </w:style>
  <w:style w:type="paragraph" w:customStyle="1" w:styleId="Bulletlisting">
    <w:name w:val="Bullet (listing)"/>
    <w:basedOn w:val="Normal"/>
    <w:rsid w:val="003B3B59"/>
    <w:pPr>
      <w:numPr>
        <w:numId w:val="3"/>
      </w:numPr>
      <w:spacing w:before="120" w:after="0" w:line="274" w:lineRule="auto"/>
    </w:pPr>
    <w:rPr>
      <w:rFonts w:ascii="Arial" w:eastAsia="Times New Roman" w:hAnsi="Arial" w:cs="Times New Roman"/>
      <w:szCs w:val="20"/>
    </w:rPr>
  </w:style>
  <w:style w:type="paragraph" w:customStyle="1" w:styleId="AppendixStyle1">
    <w:name w:val="Appendix Style 1"/>
    <w:basedOn w:val="Heading2"/>
    <w:next w:val="BodyText"/>
    <w:rsid w:val="003B3B59"/>
    <w:pPr>
      <w:keepLines w:val="0"/>
      <w:pageBreakBefore/>
      <w:numPr>
        <w:numId w:val="4"/>
      </w:numPr>
      <w:spacing w:before="360" w:after="360" w:line="274" w:lineRule="auto"/>
      <w:ind w:hanging="720"/>
      <w:jc w:val="left"/>
    </w:pPr>
    <w:rPr>
      <w:bCs w:val="0"/>
      <w:sz w:val="28"/>
    </w:rPr>
  </w:style>
  <w:style w:type="paragraph" w:styleId="BodyTextFirstIndent">
    <w:name w:val="Body Text First Indent"/>
    <w:basedOn w:val="BodyText"/>
    <w:link w:val="BodyTextFirstIndentChar"/>
    <w:rsid w:val="003B3B59"/>
    <w:pPr>
      <w:spacing w:after="120"/>
      <w:ind w:firstLine="210"/>
      <w:jc w:val="left"/>
    </w:pPr>
    <w:rPr>
      <w:szCs w:val="20"/>
    </w:rPr>
  </w:style>
  <w:style w:type="character" w:customStyle="1" w:styleId="BodyTextFirstIndentChar">
    <w:name w:val="Body Text First Indent Char"/>
    <w:basedOn w:val="BodyTextChar"/>
    <w:link w:val="BodyTextFirstIndent"/>
    <w:rsid w:val="003B3B59"/>
    <w:rPr>
      <w:rFonts w:ascii="Arial" w:eastAsia="Times New Roman" w:hAnsi="Arial" w:cs="Times New Roman"/>
      <w:szCs w:val="20"/>
    </w:rPr>
  </w:style>
  <w:style w:type="paragraph" w:customStyle="1" w:styleId="hrhStyle4">
    <w:name w:val="hrh Style 4"/>
    <w:basedOn w:val="Heading4"/>
    <w:next w:val="BodyText"/>
    <w:rsid w:val="003B3B59"/>
    <w:pPr>
      <w:tabs>
        <w:tab w:val="clear" w:pos="0"/>
        <w:tab w:val="clear" w:pos="1530"/>
      </w:tabs>
      <w:spacing w:before="360" w:after="0" w:line="274" w:lineRule="auto"/>
      <w:ind w:left="864" w:hanging="864"/>
      <w:jc w:val="left"/>
    </w:pPr>
    <w:rPr>
      <w:szCs w:val="20"/>
    </w:rPr>
  </w:style>
  <w:style w:type="paragraph" w:customStyle="1" w:styleId="StylehrhStyle4Justified">
    <w:name w:val="Style hrh Style 4 + Justified"/>
    <w:basedOn w:val="hrhStyle4"/>
    <w:rsid w:val="003B3B59"/>
    <w:pPr>
      <w:spacing w:before="240"/>
      <w:jc w:val="both"/>
    </w:pPr>
    <w:rPr>
      <w:bCs/>
    </w:rPr>
  </w:style>
  <w:style w:type="paragraph" w:styleId="TOC4">
    <w:name w:val="toc 4"/>
    <w:basedOn w:val="Normal"/>
    <w:next w:val="Normal"/>
    <w:autoRedefine/>
    <w:uiPriority w:val="39"/>
    <w:rsid w:val="003B3B59"/>
    <w:pPr>
      <w:spacing w:after="0" w:line="240" w:lineRule="auto"/>
      <w:ind w:left="720"/>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3B3B59"/>
    <w:pPr>
      <w:spacing w:after="0" w:line="240" w:lineRule="auto"/>
      <w:ind w:left="960"/>
    </w:pPr>
    <w:rPr>
      <w:rFonts w:ascii="Times New Roman" w:eastAsia="Times New Roman" w:hAnsi="Times New Roman" w:cs="Times New Roman"/>
      <w:sz w:val="24"/>
      <w:szCs w:val="24"/>
      <w:lang w:eastAsia="en-GB"/>
    </w:rPr>
  </w:style>
  <w:style w:type="paragraph" w:styleId="TOC6">
    <w:name w:val="toc 6"/>
    <w:basedOn w:val="Normal"/>
    <w:next w:val="Normal"/>
    <w:autoRedefine/>
    <w:uiPriority w:val="39"/>
    <w:rsid w:val="003B3B59"/>
    <w:pPr>
      <w:spacing w:after="0" w:line="240" w:lineRule="auto"/>
      <w:ind w:left="1200"/>
    </w:pPr>
    <w:rPr>
      <w:rFonts w:ascii="Times New Roman" w:eastAsia="Times New Roman" w:hAnsi="Times New Roman" w:cs="Times New Roman"/>
      <w:sz w:val="24"/>
      <w:szCs w:val="24"/>
      <w:lang w:eastAsia="en-GB"/>
    </w:rPr>
  </w:style>
  <w:style w:type="paragraph" w:styleId="TOC7">
    <w:name w:val="toc 7"/>
    <w:basedOn w:val="Normal"/>
    <w:next w:val="Normal"/>
    <w:autoRedefine/>
    <w:uiPriority w:val="39"/>
    <w:rsid w:val="003B3B59"/>
    <w:pPr>
      <w:spacing w:after="0" w:line="240" w:lineRule="auto"/>
      <w:ind w:left="1440"/>
    </w:pPr>
    <w:rPr>
      <w:rFonts w:ascii="Times New Roman" w:eastAsia="Times New Roman" w:hAnsi="Times New Roman" w:cs="Times New Roman"/>
      <w:sz w:val="24"/>
      <w:szCs w:val="24"/>
      <w:lang w:eastAsia="en-GB"/>
    </w:rPr>
  </w:style>
  <w:style w:type="paragraph" w:styleId="TOC8">
    <w:name w:val="toc 8"/>
    <w:basedOn w:val="Normal"/>
    <w:next w:val="Normal"/>
    <w:autoRedefine/>
    <w:uiPriority w:val="39"/>
    <w:rsid w:val="003B3B59"/>
    <w:pPr>
      <w:spacing w:after="0" w:line="240" w:lineRule="auto"/>
      <w:ind w:left="1680"/>
    </w:pPr>
    <w:rPr>
      <w:rFonts w:ascii="Times New Roman" w:eastAsia="Times New Roman" w:hAnsi="Times New Roman" w:cs="Times New Roman"/>
      <w:sz w:val="24"/>
      <w:szCs w:val="24"/>
      <w:lang w:eastAsia="en-GB"/>
    </w:rPr>
  </w:style>
  <w:style w:type="paragraph" w:styleId="TOC9">
    <w:name w:val="toc 9"/>
    <w:basedOn w:val="Normal"/>
    <w:next w:val="Normal"/>
    <w:autoRedefine/>
    <w:uiPriority w:val="39"/>
    <w:rsid w:val="003B3B59"/>
    <w:pPr>
      <w:spacing w:after="0" w:line="240" w:lineRule="auto"/>
      <w:ind w:left="1920"/>
    </w:pPr>
    <w:rPr>
      <w:rFonts w:ascii="Times New Roman" w:eastAsia="Times New Roman" w:hAnsi="Times New Roman" w:cs="Times New Roman"/>
      <w:sz w:val="24"/>
      <w:szCs w:val="24"/>
      <w:lang w:eastAsia="en-GB"/>
    </w:rPr>
  </w:style>
  <w:style w:type="paragraph" w:customStyle="1" w:styleId="StylehrhStyle3Left0cmFirstline0cm">
    <w:name w:val="Style hrh Style 3 + Left:  0 cm First line:  0 cm"/>
    <w:basedOn w:val="hrhStyle3"/>
    <w:next w:val="BodyStyle1"/>
    <w:rsid w:val="003B3B59"/>
    <w:pPr>
      <w:ind w:left="0" w:firstLine="0"/>
    </w:pPr>
  </w:style>
  <w:style w:type="character" w:customStyle="1" w:styleId="BodyStyle1Char">
    <w:name w:val="Body Style 1 Char"/>
    <w:basedOn w:val="BodyTextChar"/>
    <w:rsid w:val="003B3B59"/>
    <w:rPr>
      <w:rFonts w:ascii="Arial" w:eastAsia="Times New Roman" w:hAnsi="Arial" w:cs="Times New Roman"/>
      <w:sz w:val="22"/>
      <w:szCs w:val="24"/>
      <w:lang w:val="en-GB" w:eastAsia="en-US" w:bidi="ar-SA"/>
    </w:rPr>
  </w:style>
  <w:style w:type="character" w:styleId="PageNumber">
    <w:name w:val="page number"/>
    <w:basedOn w:val="DefaultParagraphFont"/>
    <w:rsid w:val="003B3B59"/>
  </w:style>
  <w:style w:type="paragraph" w:customStyle="1" w:styleId="MENDStyle3">
    <w:name w:val="MEND Style 3"/>
    <w:basedOn w:val="Heading3"/>
    <w:next w:val="Normal"/>
    <w:rsid w:val="003B3B59"/>
    <w:pPr>
      <w:tabs>
        <w:tab w:val="left" w:pos="958"/>
      </w:tabs>
      <w:spacing w:before="360" w:line="274" w:lineRule="auto"/>
      <w:ind w:left="958"/>
      <w:jc w:val="left"/>
    </w:pPr>
    <w:rPr>
      <w:sz w:val="24"/>
      <w:szCs w:val="20"/>
    </w:rPr>
  </w:style>
  <w:style w:type="character" w:customStyle="1" w:styleId="BodyTextChar2">
    <w:name w:val="Body Text Char2"/>
    <w:basedOn w:val="DefaultParagraphFont"/>
    <w:rsid w:val="003B3B59"/>
    <w:rPr>
      <w:rFonts w:ascii="Arial" w:hAnsi="Arial"/>
      <w:sz w:val="22"/>
      <w:lang w:val="en-GB" w:eastAsia="en-US" w:bidi="ar-SA"/>
    </w:rPr>
  </w:style>
  <w:style w:type="character" w:customStyle="1" w:styleId="BodyStyle1Char2">
    <w:name w:val="Body Style 1 Char2"/>
    <w:basedOn w:val="BodyTextChar2"/>
    <w:rsid w:val="003B3B59"/>
    <w:rPr>
      <w:rFonts w:ascii="Arial" w:hAnsi="Arial"/>
      <w:sz w:val="22"/>
      <w:lang w:val="en-GB" w:eastAsia="en-US" w:bidi="ar-SA"/>
    </w:rPr>
  </w:style>
  <w:style w:type="paragraph" w:customStyle="1" w:styleId="MENDBodyStyle1">
    <w:name w:val="MEND Body Style 1"/>
    <w:basedOn w:val="BodyText"/>
    <w:rsid w:val="003B3B59"/>
    <w:rPr>
      <w:szCs w:val="20"/>
    </w:rPr>
  </w:style>
  <w:style w:type="paragraph" w:customStyle="1" w:styleId="MENDBodyStyle1CharChar">
    <w:name w:val="MEND Body Style 1 Char Char"/>
    <w:basedOn w:val="BodyText"/>
    <w:rsid w:val="003B3B59"/>
    <w:rPr>
      <w:szCs w:val="20"/>
    </w:rPr>
  </w:style>
  <w:style w:type="paragraph" w:customStyle="1" w:styleId="Definitions">
    <w:name w:val="Definitions"/>
    <w:basedOn w:val="Normal"/>
    <w:uiPriority w:val="99"/>
    <w:rsid w:val="003B3B59"/>
    <w:pPr>
      <w:overflowPunct w:val="0"/>
      <w:autoSpaceDE w:val="0"/>
      <w:autoSpaceDN w:val="0"/>
      <w:adjustRightInd w:val="0"/>
      <w:spacing w:before="120" w:after="0" w:line="300" w:lineRule="auto"/>
      <w:textAlignment w:val="baseline"/>
    </w:pPr>
    <w:rPr>
      <w:rFonts w:ascii="Times New Roman" w:eastAsia="Times New Roman" w:hAnsi="Times New Roman" w:cs="Times New Roman"/>
      <w:b/>
      <w:sz w:val="24"/>
      <w:szCs w:val="24"/>
      <w:lang w:eastAsia="da-DK"/>
    </w:rPr>
  </w:style>
  <w:style w:type="paragraph" w:customStyle="1" w:styleId="TextHeading3">
    <w:name w:val="Text Heading3"/>
    <w:basedOn w:val="Normal"/>
    <w:link w:val="TextHeading3Char"/>
    <w:rsid w:val="003B3B59"/>
    <w:pPr>
      <w:spacing w:after="120" w:line="240" w:lineRule="auto"/>
      <w:ind w:left="567"/>
      <w:jc w:val="both"/>
    </w:pPr>
    <w:rPr>
      <w:rFonts w:ascii="Times New Roman" w:eastAsia="Times New Roman" w:hAnsi="Times New Roman" w:cs="Times New Roman"/>
      <w:kern w:val="24"/>
      <w:sz w:val="24"/>
      <w:szCs w:val="24"/>
    </w:rPr>
  </w:style>
  <w:style w:type="character" w:customStyle="1" w:styleId="TextHeading3Char">
    <w:name w:val="Text Heading3 Char"/>
    <w:basedOn w:val="DefaultParagraphFont"/>
    <w:link w:val="TextHeading3"/>
    <w:rsid w:val="003B3B59"/>
    <w:rPr>
      <w:rFonts w:ascii="Times New Roman" w:eastAsia="Times New Roman" w:hAnsi="Times New Roman" w:cs="Times New Roman"/>
      <w:kern w:val="24"/>
      <w:sz w:val="24"/>
      <w:szCs w:val="24"/>
    </w:rPr>
  </w:style>
  <w:style w:type="paragraph" w:customStyle="1" w:styleId="BulletsHeading3">
    <w:name w:val="Bullets Heading3"/>
    <w:basedOn w:val="TextHeading3"/>
    <w:next w:val="TextHeading3"/>
    <w:rsid w:val="003B3B59"/>
    <w:pPr>
      <w:tabs>
        <w:tab w:val="num" w:pos="567"/>
      </w:tabs>
      <w:ind w:hanging="283"/>
    </w:pPr>
  </w:style>
  <w:style w:type="paragraph" w:customStyle="1" w:styleId="ProtocolTitle">
    <w:name w:val="Protocol Title"/>
    <w:basedOn w:val="Normal"/>
    <w:qFormat/>
    <w:rsid w:val="003B3B59"/>
    <w:pPr>
      <w:spacing w:after="0" w:line="240" w:lineRule="auto"/>
      <w:jc w:val="center"/>
    </w:pPr>
    <w:rPr>
      <w:rFonts w:ascii="Arial" w:eastAsia="Times New Roman" w:hAnsi="Arial" w:cs="Arial"/>
      <w:b/>
      <w:sz w:val="40"/>
      <w:szCs w:val="40"/>
    </w:rPr>
  </w:style>
  <w:style w:type="paragraph" w:customStyle="1" w:styleId="Protocolheading-noref">
    <w:name w:val="Protocol heading - no ref"/>
    <w:basedOn w:val="Normal"/>
    <w:uiPriority w:val="99"/>
    <w:qFormat/>
    <w:rsid w:val="003B3B59"/>
    <w:pPr>
      <w:suppressAutoHyphens/>
      <w:spacing w:after="0" w:line="240" w:lineRule="auto"/>
      <w:ind w:left="142"/>
    </w:pPr>
    <w:rPr>
      <w:rFonts w:ascii="Arial" w:eastAsia="Times New Roman" w:hAnsi="Arial" w:cs="Arial"/>
      <w:b/>
      <w:sz w:val="24"/>
      <w:szCs w:val="24"/>
    </w:rPr>
  </w:style>
  <w:style w:type="paragraph" w:customStyle="1" w:styleId="Protocolheading1">
    <w:name w:val="Protocol heading 1"/>
    <w:basedOn w:val="hrhStyle1"/>
    <w:link w:val="Protocolheading1Char"/>
    <w:qFormat/>
    <w:rsid w:val="003B3B59"/>
    <w:pPr>
      <w:ind w:left="567" w:hanging="567"/>
    </w:pPr>
    <w:rPr>
      <w:caps w:val="0"/>
    </w:rPr>
  </w:style>
  <w:style w:type="character" w:customStyle="1" w:styleId="Protocolheading1Char">
    <w:name w:val="Protocol heading 1 Char"/>
    <w:basedOn w:val="hrhStyle1Char"/>
    <w:link w:val="Protocolheading1"/>
    <w:rsid w:val="003B3B59"/>
    <w:rPr>
      <w:rFonts w:ascii="Arial" w:eastAsia="Times New Roman" w:hAnsi="Arial" w:cs="Arial"/>
      <w:b/>
      <w:bCs/>
      <w:caps w:val="0"/>
      <w:sz w:val="32"/>
      <w:szCs w:val="24"/>
    </w:rPr>
  </w:style>
  <w:style w:type="paragraph" w:customStyle="1" w:styleId="Protocolheading2">
    <w:name w:val="Protocol heading 2"/>
    <w:basedOn w:val="hrhStyle2"/>
    <w:link w:val="Protocolheading2Char"/>
    <w:qFormat/>
    <w:rsid w:val="003B3B59"/>
    <w:pPr>
      <w:ind w:left="993" w:hanging="993"/>
    </w:pPr>
    <w:rPr>
      <w:color w:val="000000"/>
      <w:szCs w:val="21"/>
    </w:rPr>
  </w:style>
  <w:style w:type="character" w:customStyle="1" w:styleId="Protocolheading2Char">
    <w:name w:val="Protocol heading 2 Char"/>
    <w:basedOn w:val="hrhStyle2Char"/>
    <w:link w:val="Protocolheading2"/>
    <w:rsid w:val="003B3B59"/>
    <w:rPr>
      <w:rFonts w:ascii="Arial" w:eastAsia="Times New Roman" w:hAnsi="Arial" w:cs="Times New Roman"/>
      <w:b/>
      <w:bCs/>
      <w:color w:val="000000"/>
      <w:sz w:val="28"/>
      <w:szCs w:val="21"/>
    </w:rPr>
  </w:style>
  <w:style w:type="paragraph" w:customStyle="1" w:styleId="Protocolheading3">
    <w:name w:val="Protocol heading 3"/>
    <w:basedOn w:val="hrhStyle3"/>
    <w:link w:val="Protocolheading3Char"/>
    <w:qFormat/>
    <w:rsid w:val="003B3B59"/>
    <w:pPr>
      <w:ind w:hanging="436"/>
    </w:pPr>
  </w:style>
  <w:style w:type="character" w:customStyle="1" w:styleId="Protocolheading3Char">
    <w:name w:val="Protocol heading 3 Char"/>
    <w:basedOn w:val="hrhStyle3Char"/>
    <w:link w:val="Protocolheading3"/>
    <w:rsid w:val="003B3B59"/>
    <w:rPr>
      <w:rFonts w:ascii="Arial" w:eastAsia="Times New Roman" w:hAnsi="Arial" w:cs="Times New Roman"/>
      <w:b/>
      <w:bCs/>
      <w:sz w:val="24"/>
      <w:szCs w:val="24"/>
    </w:rPr>
  </w:style>
  <w:style w:type="paragraph" w:customStyle="1" w:styleId="Protocolnormal">
    <w:name w:val="Protocol normal"/>
    <w:basedOn w:val="Normal"/>
    <w:link w:val="ProtocolnormalChar"/>
    <w:rsid w:val="003B3B59"/>
    <w:pPr>
      <w:autoSpaceDE w:val="0"/>
      <w:autoSpaceDN w:val="0"/>
      <w:adjustRightInd w:val="0"/>
      <w:spacing w:after="0" w:line="276" w:lineRule="auto"/>
      <w:jc w:val="both"/>
    </w:pPr>
    <w:rPr>
      <w:rFonts w:ascii="Arial" w:eastAsia="Times New Roman" w:hAnsi="Arial" w:cs="Times New Roman"/>
      <w:szCs w:val="20"/>
    </w:rPr>
  </w:style>
  <w:style w:type="character" w:customStyle="1" w:styleId="ProtocolnormalChar">
    <w:name w:val="Protocol normal Char"/>
    <w:basedOn w:val="DefaultParagraphFont"/>
    <w:link w:val="Protocolnormal"/>
    <w:rsid w:val="003B3B59"/>
    <w:rPr>
      <w:rFonts w:ascii="Arial" w:eastAsia="Times New Roman" w:hAnsi="Arial" w:cs="Times New Roman"/>
      <w:szCs w:val="20"/>
    </w:rPr>
  </w:style>
  <w:style w:type="paragraph" w:customStyle="1" w:styleId="Protocolparagraph">
    <w:name w:val="Protocol paragraph"/>
    <w:basedOn w:val="Normal"/>
    <w:link w:val="ProtocolparagraphChar"/>
    <w:uiPriority w:val="99"/>
    <w:qFormat/>
    <w:rsid w:val="003B3B59"/>
    <w:pPr>
      <w:autoSpaceDE w:val="0"/>
      <w:autoSpaceDN w:val="0"/>
      <w:adjustRightInd w:val="0"/>
      <w:spacing w:after="0" w:line="276" w:lineRule="auto"/>
      <w:jc w:val="both"/>
    </w:pPr>
    <w:rPr>
      <w:rFonts w:ascii="Arial" w:eastAsia="Times New Roman" w:hAnsi="Arial" w:cs="Times New Roman"/>
      <w:szCs w:val="20"/>
    </w:rPr>
  </w:style>
  <w:style w:type="character" w:customStyle="1" w:styleId="ProtocolparagraphChar">
    <w:name w:val="Protocol paragraph Char"/>
    <w:basedOn w:val="DefaultParagraphFont"/>
    <w:link w:val="Protocolparagraph"/>
    <w:uiPriority w:val="99"/>
    <w:rsid w:val="003B3B59"/>
    <w:rPr>
      <w:rFonts w:ascii="Arial" w:eastAsia="Times New Roman" w:hAnsi="Arial" w:cs="Times New Roman"/>
      <w:szCs w:val="20"/>
    </w:rPr>
  </w:style>
  <w:style w:type="paragraph" w:customStyle="1" w:styleId="Protocolparagraphblue">
    <w:name w:val="Protocol paragraph blue"/>
    <w:basedOn w:val="Protocolparagraph"/>
    <w:link w:val="ProtocolparagraphblueChar"/>
    <w:uiPriority w:val="99"/>
    <w:qFormat/>
    <w:rsid w:val="003B3B59"/>
    <w:rPr>
      <w:color w:val="0000FF"/>
    </w:rPr>
  </w:style>
  <w:style w:type="character" w:customStyle="1" w:styleId="ProtocolparagraphblueChar">
    <w:name w:val="Protocol paragraph blue Char"/>
    <w:basedOn w:val="ProtocolparagraphChar"/>
    <w:link w:val="Protocolparagraphblue"/>
    <w:uiPriority w:val="99"/>
    <w:rsid w:val="003B3B59"/>
    <w:rPr>
      <w:rFonts w:ascii="Arial" w:eastAsia="Times New Roman" w:hAnsi="Arial" w:cs="Times New Roman"/>
      <w:color w:val="0000FF"/>
      <w:szCs w:val="20"/>
    </w:rPr>
  </w:style>
  <w:style w:type="paragraph" w:customStyle="1" w:styleId="protocollevel2">
    <w:name w:val="protocol level 2"/>
    <w:basedOn w:val="Protocolheading2"/>
    <w:link w:val="protocollevel2Char"/>
    <w:autoRedefine/>
    <w:rsid w:val="003B3B59"/>
  </w:style>
  <w:style w:type="character" w:customStyle="1" w:styleId="protocollevel2Char">
    <w:name w:val="protocol level 2 Char"/>
    <w:basedOn w:val="Protocolheading2Char"/>
    <w:link w:val="protocollevel2"/>
    <w:rsid w:val="003B3B59"/>
    <w:rPr>
      <w:rFonts w:ascii="Arial" w:eastAsia="Times New Roman" w:hAnsi="Arial" w:cs="Times New Roman"/>
      <w:b/>
      <w:bCs/>
      <w:color w:val="000000"/>
      <w:sz w:val="28"/>
      <w:szCs w:val="21"/>
    </w:rPr>
  </w:style>
  <w:style w:type="paragraph" w:customStyle="1" w:styleId="protocollevel3">
    <w:name w:val="protocol level 3"/>
    <w:basedOn w:val="Protocolheading3"/>
    <w:link w:val="protocollevel3Char"/>
    <w:autoRedefine/>
    <w:rsid w:val="003B3B59"/>
  </w:style>
  <w:style w:type="character" w:customStyle="1" w:styleId="protocollevel3Char">
    <w:name w:val="protocol level 3 Char"/>
    <w:basedOn w:val="Protocolheading3Char"/>
    <w:link w:val="protocollevel3"/>
    <w:rsid w:val="003B3B59"/>
    <w:rPr>
      <w:rFonts w:ascii="Arial" w:eastAsia="Times New Roman" w:hAnsi="Arial" w:cs="Times New Roman"/>
      <w:b/>
      <w:bCs/>
      <w:sz w:val="24"/>
      <w:szCs w:val="24"/>
    </w:rPr>
  </w:style>
  <w:style w:type="paragraph" w:customStyle="1" w:styleId="protocollevel1">
    <w:name w:val="protocol level 1"/>
    <w:basedOn w:val="Protocolheading1"/>
    <w:next w:val="Normal"/>
    <w:link w:val="protocollevel1Char"/>
    <w:autoRedefine/>
    <w:rsid w:val="003B3B59"/>
  </w:style>
  <w:style w:type="character" w:customStyle="1" w:styleId="protocollevel1Char">
    <w:name w:val="protocol level 1 Char"/>
    <w:basedOn w:val="Protocolheading1Char"/>
    <w:link w:val="protocollevel1"/>
    <w:rsid w:val="003B3B59"/>
    <w:rPr>
      <w:rFonts w:ascii="Arial" w:eastAsia="Times New Roman" w:hAnsi="Arial" w:cs="Arial"/>
      <w:b/>
      <w:bCs/>
      <w:caps w:val="0"/>
      <w:sz w:val="32"/>
      <w:szCs w:val="24"/>
    </w:rPr>
  </w:style>
  <w:style w:type="paragraph" w:customStyle="1" w:styleId="TOCHeading1">
    <w:name w:val="TOC Heading1"/>
    <w:basedOn w:val="Heading1"/>
    <w:next w:val="Normal"/>
    <w:uiPriority w:val="39"/>
    <w:unhideWhenUsed/>
    <w:qFormat/>
    <w:rsid w:val="003B3B59"/>
    <w:pPr>
      <w:keepLines/>
      <w:pageBreakBefore/>
      <w:tabs>
        <w:tab w:val="clear" w:pos="4153"/>
        <w:tab w:val="clear" w:pos="8306"/>
      </w:tabs>
      <w:spacing w:before="480" w:after="240" w:line="276" w:lineRule="auto"/>
      <w:outlineLvl w:val="9"/>
    </w:pPr>
    <w:rPr>
      <w:rFonts w:ascii="Cambria" w:hAnsi="Cambria" w:cs="Times New Roman"/>
      <w:bCs/>
      <w:caps/>
      <w:color w:val="365F91"/>
      <w:szCs w:val="28"/>
      <w:lang w:val="en-US"/>
    </w:rPr>
  </w:style>
  <w:style w:type="paragraph" w:customStyle="1" w:styleId="ColorfulList-Accent13">
    <w:name w:val="Colorful List - Accent 13"/>
    <w:basedOn w:val="Normal"/>
    <w:uiPriority w:val="34"/>
    <w:qFormat/>
    <w:rsid w:val="003B3B59"/>
    <w:pPr>
      <w:spacing w:after="0" w:line="240" w:lineRule="auto"/>
      <w:ind w:left="720"/>
      <w:contextualSpacing/>
    </w:pPr>
    <w:rPr>
      <w:rFonts w:ascii="Arial" w:eastAsia="Times New Roman" w:hAnsi="Arial" w:cs="Times New Roman"/>
      <w:sz w:val="20"/>
      <w:szCs w:val="20"/>
      <w:lang w:eastAsia="en-GB"/>
    </w:rPr>
  </w:style>
  <w:style w:type="character" w:styleId="Emphasis">
    <w:name w:val="Emphasis"/>
    <w:basedOn w:val="DefaultParagraphFont"/>
    <w:uiPriority w:val="20"/>
    <w:qFormat/>
    <w:rsid w:val="003B3B59"/>
    <w:rPr>
      <w:i/>
      <w:iCs/>
    </w:rPr>
  </w:style>
  <w:style w:type="paragraph" w:styleId="FootnoteText">
    <w:name w:val="footnote text"/>
    <w:basedOn w:val="Normal"/>
    <w:link w:val="FootnoteTextChar"/>
    <w:semiHidden/>
    <w:unhideWhenUsed/>
    <w:rsid w:val="003B3B59"/>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3B3B59"/>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3B3B59"/>
    <w:rPr>
      <w:vertAlign w:val="superscript"/>
    </w:rPr>
  </w:style>
  <w:style w:type="paragraph" w:customStyle="1" w:styleId="Caption1">
    <w:name w:val="Caption1"/>
    <w:basedOn w:val="Normal"/>
    <w:next w:val="Normal"/>
    <w:unhideWhenUsed/>
    <w:qFormat/>
    <w:rsid w:val="003B3B59"/>
    <w:pPr>
      <w:spacing w:after="200" w:line="240" w:lineRule="auto"/>
    </w:pPr>
    <w:rPr>
      <w:rFonts w:ascii="Arial" w:eastAsia="Times New Roman" w:hAnsi="Arial" w:cs="Times New Roman"/>
      <w:i/>
      <w:iCs/>
      <w:color w:val="1F497D"/>
      <w:sz w:val="18"/>
      <w:szCs w:val="18"/>
    </w:rPr>
  </w:style>
  <w:style w:type="paragraph" w:styleId="Revision">
    <w:name w:val="Revision"/>
    <w:hidden/>
    <w:uiPriority w:val="99"/>
    <w:semiHidden/>
    <w:rsid w:val="003B3B59"/>
    <w:pPr>
      <w:spacing w:after="0" w:line="240" w:lineRule="auto"/>
    </w:pPr>
    <w:rPr>
      <w:rFonts w:ascii="Arial" w:eastAsia="Times New Roman" w:hAnsi="Arial" w:cs="Times New Roman"/>
      <w:szCs w:val="24"/>
    </w:rPr>
  </w:style>
  <w:style w:type="paragraph" w:styleId="NormalWeb">
    <w:name w:val="Normal (Web)"/>
    <w:basedOn w:val="Normal"/>
    <w:uiPriority w:val="99"/>
    <w:unhideWhenUsed/>
    <w:rsid w:val="003B3B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chemaTitle">
    <w:name w:val="SchemaTitle"/>
    <w:basedOn w:val="Normal"/>
    <w:semiHidden/>
    <w:rsid w:val="003B3B59"/>
    <w:pPr>
      <w:spacing w:before="240" w:after="240" w:line="274" w:lineRule="auto"/>
      <w:jc w:val="center"/>
    </w:pPr>
    <w:rPr>
      <w:rFonts w:ascii="Arial" w:eastAsia="Times New Roman" w:hAnsi="Arial" w:cs="Times New Roman"/>
      <w:b/>
      <w:sz w:val="24"/>
      <w:szCs w:val="20"/>
    </w:rPr>
  </w:style>
  <w:style w:type="paragraph" w:customStyle="1" w:styleId="RightPar1">
    <w:name w:val="Right Par 1"/>
    <w:rsid w:val="003B3B59"/>
    <w:pPr>
      <w:tabs>
        <w:tab w:val="left" w:pos="-720"/>
        <w:tab w:val="left" w:pos="0"/>
        <w:tab w:val="decimal" w:pos="720"/>
      </w:tabs>
      <w:suppressAutoHyphens/>
      <w:spacing w:after="0" w:line="240" w:lineRule="auto"/>
      <w:ind w:left="720"/>
    </w:pPr>
    <w:rPr>
      <w:rFonts w:ascii="Times Roman" w:eastAsia="Times New Roman" w:hAnsi="Times Roman" w:cs="Times New Roman"/>
      <w:sz w:val="24"/>
      <w:szCs w:val="20"/>
      <w:lang w:val="en-US"/>
    </w:rPr>
  </w:style>
  <w:style w:type="paragraph" w:styleId="EndnoteText">
    <w:name w:val="endnote text"/>
    <w:basedOn w:val="Normal"/>
    <w:link w:val="EndnoteTextChar"/>
    <w:semiHidden/>
    <w:rsid w:val="003B3B59"/>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3B3B59"/>
    <w:rPr>
      <w:rFonts w:ascii="Times Roman" w:eastAsia="Times New Roman" w:hAnsi="Times Roman" w:cs="Times New Roman"/>
      <w:sz w:val="24"/>
      <w:szCs w:val="20"/>
    </w:rPr>
  </w:style>
  <w:style w:type="paragraph" w:customStyle="1" w:styleId="TierI">
    <w:name w:val="Tier I"/>
    <w:basedOn w:val="Normal"/>
    <w:rsid w:val="003B3B59"/>
    <w:pPr>
      <w:widowControl w:val="0"/>
      <w:numPr>
        <w:numId w:val="7"/>
      </w:numPr>
      <w:spacing w:after="0" w:line="240" w:lineRule="auto"/>
    </w:pPr>
    <w:rPr>
      <w:rFonts w:ascii="Arial" w:eastAsia="Times New Roman" w:hAnsi="Arial" w:cs="Times New Roman"/>
      <w:b/>
      <w:szCs w:val="20"/>
    </w:rPr>
  </w:style>
  <w:style w:type="paragraph" w:customStyle="1" w:styleId="TierII">
    <w:name w:val="Tier II"/>
    <w:basedOn w:val="Normal"/>
    <w:rsid w:val="003B3B59"/>
    <w:pPr>
      <w:widowControl w:val="0"/>
      <w:numPr>
        <w:ilvl w:val="1"/>
        <w:numId w:val="7"/>
      </w:numPr>
      <w:spacing w:after="0" w:line="240" w:lineRule="auto"/>
    </w:pPr>
    <w:rPr>
      <w:rFonts w:ascii="Arial" w:eastAsia="Times New Roman" w:hAnsi="Arial" w:cs="Times New Roman"/>
      <w:szCs w:val="20"/>
    </w:rPr>
  </w:style>
  <w:style w:type="paragraph" w:customStyle="1" w:styleId="TierIII">
    <w:name w:val="Tier III"/>
    <w:basedOn w:val="Normal"/>
    <w:rsid w:val="003B3B59"/>
    <w:pPr>
      <w:widowControl w:val="0"/>
      <w:numPr>
        <w:ilvl w:val="2"/>
        <w:numId w:val="7"/>
      </w:numPr>
      <w:spacing w:after="0" w:line="240" w:lineRule="auto"/>
    </w:pPr>
    <w:rPr>
      <w:rFonts w:ascii="Times New Roman" w:eastAsia="Times New Roman" w:hAnsi="Times New Roman" w:cs="Times New Roman"/>
      <w:sz w:val="20"/>
      <w:szCs w:val="20"/>
    </w:rPr>
  </w:style>
  <w:style w:type="paragraph" w:customStyle="1" w:styleId="TierIV">
    <w:name w:val="Tier IV"/>
    <w:basedOn w:val="Normal"/>
    <w:rsid w:val="003B3B59"/>
    <w:pPr>
      <w:widowControl w:val="0"/>
      <w:numPr>
        <w:ilvl w:val="3"/>
        <w:numId w:val="7"/>
      </w:numPr>
      <w:spacing w:after="0" w:line="240" w:lineRule="auto"/>
    </w:pPr>
    <w:rPr>
      <w:rFonts w:ascii="Times New Roman" w:eastAsia="Times New Roman" w:hAnsi="Times New Roman" w:cs="Times New Roman"/>
      <w:sz w:val="20"/>
      <w:szCs w:val="20"/>
    </w:rPr>
  </w:style>
  <w:style w:type="paragraph" w:customStyle="1" w:styleId="TierV">
    <w:name w:val="Tier V"/>
    <w:basedOn w:val="Normal"/>
    <w:rsid w:val="003B3B59"/>
    <w:pPr>
      <w:widowControl w:val="0"/>
      <w:numPr>
        <w:ilvl w:val="4"/>
        <w:numId w:val="7"/>
      </w:numPr>
      <w:spacing w:after="0" w:line="240" w:lineRule="auto"/>
    </w:pPr>
    <w:rPr>
      <w:rFonts w:ascii="Times New Roman" w:eastAsia="Times New Roman" w:hAnsi="Times New Roman" w:cs="Times New Roman"/>
      <w:sz w:val="20"/>
      <w:szCs w:val="20"/>
    </w:rPr>
  </w:style>
  <w:style w:type="paragraph" w:customStyle="1" w:styleId="CM1">
    <w:name w:val="CM1"/>
    <w:basedOn w:val="Default"/>
    <w:next w:val="Default"/>
    <w:uiPriority w:val="99"/>
    <w:rsid w:val="003B3B59"/>
    <w:rPr>
      <w:rFonts w:ascii="EUAlbertina" w:eastAsia="Calibri" w:hAnsi="EUAlbertina" w:cs="Times New Roman"/>
      <w:color w:val="auto"/>
      <w:lang w:eastAsia="en-US"/>
    </w:rPr>
  </w:style>
  <w:style w:type="paragraph" w:customStyle="1" w:styleId="CM3">
    <w:name w:val="CM3"/>
    <w:basedOn w:val="Default"/>
    <w:next w:val="Default"/>
    <w:uiPriority w:val="99"/>
    <w:rsid w:val="003B3B59"/>
    <w:rPr>
      <w:rFonts w:ascii="EUAlbertina" w:eastAsia="Calibri" w:hAnsi="EUAlbertina" w:cs="Times New Roman"/>
      <w:color w:val="auto"/>
      <w:lang w:eastAsia="en-US"/>
    </w:rPr>
  </w:style>
  <w:style w:type="paragraph" w:customStyle="1" w:styleId="p">
    <w:name w:val="p"/>
    <w:basedOn w:val="Normal"/>
    <w:rsid w:val="003B3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custom-uclhlinks">
    <w:name w:val="ms-rtecustom-uclh_links"/>
    <w:basedOn w:val="DefaultParagraphFont"/>
    <w:rsid w:val="003B3B59"/>
  </w:style>
  <w:style w:type="character" w:customStyle="1" w:styleId="UnresolvedMention1">
    <w:name w:val="Unresolved Mention1"/>
    <w:basedOn w:val="DefaultParagraphFont"/>
    <w:uiPriority w:val="99"/>
    <w:semiHidden/>
    <w:unhideWhenUsed/>
    <w:rsid w:val="003B3B59"/>
    <w:rPr>
      <w:color w:val="605E5C"/>
      <w:shd w:val="clear" w:color="auto" w:fill="E1DFDD"/>
    </w:rPr>
  </w:style>
  <w:style w:type="paragraph" w:styleId="NoSpacing">
    <w:name w:val="No Spacing"/>
    <w:uiPriority w:val="1"/>
    <w:qFormat/>
    <w:rsid w:val="003B3B59"/>
    <w:pPr>
      <w:spacing w:after="0" w:line="240" w:lineRule="auto"/>
    </w:pPr>
  </w:style>
  <w:style w:type="character" w:styleId="UnresolvedMention">
    <w:name w:val="Unresolved Mention"/>
    <w:basedOn w:val="DefaultParagraphFont"/>
    <w:uiPriority w:val="99"/>
    <w:semiHidden/>
    <w:unhideWhenUsed/>
    <w:rsid w:val="003B3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sicsstudy.org.uk/summary.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scueasdh.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almieri@liv.ac.uk" TargetMode="External"/><Relationship Id="rId5" Type="http://schemas.openxmlformats.org/officeDocument/2006/relationships/webSettings" Target="webSettings.xml"/><Relationship Id="rId15" Type="http://schemas.openxmlformats.org/officeDocument/2006/relationships/hyperlink" Target="https://www.hra.nhs.uk/approvals-amendments/what-approvals-do-i-need/"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ra.nhs.uk/approvals-amendments/what-approvals-do-i-ne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E553B-6960-4BDD-88C9-C907E8F2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46</Pages>
  <Words>19406</Words>
  <Characters>110619</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PRIMROSE</dc:subject>
  <dc:creator>Andrea Newhouse</dc:creator>
  <cp:keywords/>
  <dc:description/>
  <cp:lastModifiedBy>Newhouse, Andrea</cp:lastModifiedBy>
  <cp:revision>7</cp:revision>
  <dcterms:created xsi:type="dcterms:W3CDTF">2020-06-23T12:59:00Z</dcterms:created>
  <dcterms:modified xsi:type="dcterms:W3CDTF">2020-07-02T08:33:00Z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9f7fdd4e-77ca-3262-8530-d818e7078feb</vt:lpwstr>
  </property>
  <property fmtid="{D5CDD505-2E9C-101B-9397-08002B2CF9AE}" pid="4" name="Mendeley Citation Style_1">
    <vt:lpwstr>http://www.zotero.org/styles/american-medical-association</vt:lpwstr>
  </property>
</Properties>
</file>